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1A792" w14:textId="77777777" w:rsidR="00381A9C" w:rsidRDefault="00381A9C" w:rsidP="00381A9C">
      <w:pPr>
        <w:pStyle w:val="DocTitle"/>
      </w:pPr>
      <w:r>
        <w:t xml:space="preserve">Clinical Information Pack </w:t>
      </w:r>
    </w:p>
    <w:p w14:paraId="50F63B0E" w14:textId="77777777" w:rsidR="00381A9C" w:rsidRDefault="008F5308" w:rsidP="00381A9C">
      <w:pPr>
        <w:pStyle w:val="DocTitle"/>
        <w:rPr>
          <w:sz w:val="48"/>
          <w:szCs w:val="48"/>
        </w:rPr>
      </w:pPr>
      <w:r>
        <w:rPr>
          <w:sz w:val="48"/>
          <w:szCs w:val="48"/>
        </w:rPr>
        <w:t>Clinical Lecturer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930"/>
      </w:tblGrid>
      <w:tr w:rsidR="00381A9C" w:rsidRPr="000A5E99" w14:paraId="0C2D6BF5" w14:textId="77777777" w:rsidTr="00C52034">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870" w:type="dxa"/>
            <w:gridSpan w:val="3"/>
            <w:shd w:val="clear" w:color="auto" w:fill="auto"/>
          </w:tcPr>
          <w:p w14:paraId="522C650C" w14:textId="47536D71" w:rsidR="00381A9C" w:rsidRPr="00C52034" w:rsidRDefault="007A43B7" w:rsidP="00CF565F">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CF565F">
              <w:rPr>
                <w:rFonts w:ascii="Lucida Sans" w:hAnsi="Lucida Sans"/>
                <w:b/>
                <w:bCs/>
                <w:sz w:val="20"/>
                <w:szCs w:val="20"/>
              </w:rPr>
              <w:t>Ne</w:t>
            </w:r>
            <w:r w:rsidR="006D2DE0" w:rsidRPr="00C52034">
              <w:rPr>
                <w:rFonts w:ascii="Lucida Sans" w:hAnsi="Lucida Sans"/>
                <w:b/>
                <w:bCs/>
                <w:sz w:val="20"/>
                <w:szCs w:val="20"/>
              </w:rPr>
              <w:t>ur</w:t>
            </w:r>
            <w:r w:rsidR="00CF565F">
              <w:rPr>
                <w:rFonts w:ascii="Lucida Sans" w:hAnsi="Lucida Sans"/>
                <w:b/>
                <w:bCs/>
                <w:sz w:val="20"/>
                <w:szCs w:val="20"/>
              </w:rPr>
              <w:t>o</w:t>
            </w:r>
            <w:bookmarkStart w:id="0" w:name="_GoBack"/>
            <w:r w:rsidR="00CF565F">
              <w:rPr>
                <w:rFonts w:ascii="Lucida Sans" w:hAnsi="Lucida Sans"/>
                <w:b/>
                <w:bCs/>
                <w:sz w:val="20"/>
                <w:szCs w:val="20"/>
              </w:rPr>
              <w:t>sur</w:t>
            </w:r>
            <w:r w:rsidR="006D2DE0" w:rsidRPr="00C52034">
              <w:rPr>
                <w:rFonts w:ascii="Lucida Sans" w:hAnsi="Lucida Sans"/>
                <w:b/>
                <w:bCs/>
                <w:sz w:val="20"/>
                <w:szCs w:val="20"/>
              </w:rPr>
              <w:t>gery</w:t>
            </w:r>
            <w:bookmarkEnd w:id="0"/>
          </w:p>
        </w:tc>
      </w:tr>
      <w:tr w:rsidR="009B4836" w:rsidRPr="000A5E99" w14:paraId="53CB8FC3" w14:textId="77777777" w:rsidTr="00C52034">
        <w:tc>
          <w:tcPr>
            <w:tcW w:w="2434" w:type="dxa"/>
            <w:shd w:val="clear" w:color="auto" w:fill="D9D9D9" w:themeFill="background1" w:themeFillShade="D9"/>
          </w:tcPr>
          <w:p w14:paraId="45934D60" w14:textId="77777777" w:rsidR="009B4836" w:rsidRPr="000A5E99" w:rsidRDefault="009B4836" w:rsidP="009B4836">
            <w:pPr>
              <w:rPr>
                <w:rFonts w:ascii="Lucida Sans" w:hAnsi="Lucida Sans"/>
                <w:sz w:val="20"/>
                <w:szCs w:val="20"/>
              </w:rPr>
            </w:pPr>
            <w:r>
              <w:rPr>
                <w:rFonts w:ascii="Lucida Sans" w:hAnsi="Lucida Sans"/>
                <w:sz w:val="20"/>
                <w:szCs w:val="20"/>
              </w:rPr>
              <w:t>School:</w:t>
            </w:r>
          </w:p>
        </w:tc>
        <w:tc>
          <w:tcPr>
            <w:tcW w:w="6870" w:type="dxa"/>
            <w:gridSpan w:val="3"/>
            <w:shd w:val="clear" w:color="auto" w:fill="auto"/>
          </w:tcPr>
          <w:p w14:paraId="3F0C3EA2" w14:textId="4566CE24" w:rsidR="009B4836" w:rsidRPr="00FA6503" w:rsidRDefault="007A43B7" w:rsidP="009B4836">
            <w:pPr>
              <w:rPr>
                <w:rFonts w:ascii="Lucida Sans" w:hAnsi="Lucida Sans"/>
                <w:sz w:val="20"/>
                <w:szCs w:val="20"/>
              </w:rPr>
            </w:pPr>
            <w:r>
              <w:rPr>
                <w:rFonts w:ascii="Lucida Sans" w:hAnsi="Lucida Sans"/>
                <w:sz w:val="20"/>
                <w:szCs w:val="20"/>
              </w:rPr>
              <w:t>Clinical and Experimental Sciences</w:t>
            </w:r>
          </w:p>
        </w:tc>
      </w:tr>
      <w:tr w:rsidR="009B4836" w:rsidRPr="000A5E99" w14:paraId="520CE703" w14:textId="77777777" w:rsidTr="00381A9C">
        <w:tc>
          <w:tcPr>
            <w:tcW w:w="2434" w:type="dxa"/>
            <w:shd w:val="clear" w:color="auto" w:fill="D9D9D9" w:themeFill="background1" w:themeFillShade="D9"/>
          </w:tcPr>
          <w:p w14:paraId="43570D8C"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870" w:type="dxa"/>
            <w:gridSpan w:val="3"/>
          </w:tcPr>
          <w:p w14:paraId="7DAF884D" w14:textId="77777777"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153F55" w14:paraId="1EC5041D" w14:textId="77777777" w:rsidTr="00153F55">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6D924" w14:textId="77777777" w:rsidR="00153F55" w:rsidRDefault="00153F55">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529506F4" w14:textId="77777777" w:rsidR="00153F55" w:rsidRDefault="00153F55">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38A66B" w14:textId="77777777" w:rsidR="00153F55" w:rsidRDefault="00153F55">
            <w:pPr>
              <w:rPr>
                <w:rFonts w:ascii="Lucida Sans" w:hAnsi="Lucida Sans"/>
                <w:sz w:val="20"/>
                <w:szCs w:val="20"/>
              </w:rPr>
            </w:pPr>
            <w:r>
              <w:rPr>
                <w:rFonts w:ascii="Lucida Sans" w:hAnsi="Lucida Sans"/>
                <w:sz w:val="20"/>
                <w:szCs w:val="20"/>
              </w:rPr>
              <w:t>Level:</w:t>
            </w:r>
          </w:p>
        </w:tc>
        <w:tc>
          <w:tcPr>
            <w:tcW w:w="2930" w:type="dxa"/>
            <w:tcBorders>
              <w:top w:val="single" w:sz="4" w:space="0" w:color="auto"/>
              <w:left w:val="single" w:sz="4" w:space="0" w:color="auto"/>
              <w:bottom w:val="single" w:sz="4" w:space="0" w:color="auto"/>
              <w:right w:val="single" w:sz="4" w:space="0" w:color="auto"/>
            </w:tcBorders>
            <w:hideMark/>
          </w:tcPr>
          <w:p w14:paraId="2A55204D" w14:textId="77777777" w:rsidR="00153F55" w:rsidRDefault="00153F55">
            <w:pPr>
              <w:rPr>
                <w:rFonts w:ascii="Lucida Sans" w:hAnsi="Lucida Sans"/>
                <w:sz w:val="20"/>
                <w:szCs w:val="20"/>
              </w:rPr>
            </w:pPr>
            <w:r>
              <w:rPr>
                <w:rFonts w:ascii="Lucida Sans" w:hAnsi="Lucida Sans"/>
                <w:sz w:val="20"/>
                <w:szCs w:val="20"/>
              </w:rPr>
              <w:t>*AMNL/CADT</w:t>
            </w:r>
          </w:p>
        </w:tc>
      </w:tr>
      <w:tr w:rsidR="0062108F" w14:paraId="11864832" w14:textId="77777777" w:rsidTr="00CF565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B93B9" w14:textId="452A9ED9" w:rsidR="0062108F" w:rsidRDefault="0062108F" w:rsidP="0062108F">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tcPr>
          <w:p w14:paraId="139EC2C1" w14:textId="0F1CC37A" w:rsidR="0062108F" w:rsidRDefault="0062108F" w:rsidP="0062108F">
            <w:pPr>
              <w:rPr>
                <w:rFonts w:ascii="Lucida Sans" w:hAnsi="Lucida Sans"/>
                <w:sz w:val="20"/>
                <w:szCs w:val="20"/>
              </w:rPr>
            </w:pPr>
            <w:r>
              <w:rPr>
                <w:rFonts w:ascii="Lucida Sans" w:hAnsi="Lucida Sans"/>
                <w:sz w:val="20"/>
                <w:szCs w:val="20"/>
              </w:rPr>
              <w:t>£35,858</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20F79" w14:textId="5D83CE39" w:rsidR="0062108F" w:rsidRDefault="0062108F" w:rsidP="0062108F">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tcPr>
          <w:p w14:paraId="003878FE" w14:textId="248B55AC" w:rsidR="0062108F" w:rsidRDefault="0062108F" w:rsidP="0062108F">
            <w:pPr>
              <w:rPr>
                <w:rFonts w:ascii="Lucida Sans" w:hAnsi="Lucida Sans"/>
                <w:sz w:val="20"/>
                <w:szCs w:val="20"/>
              </w:rPr>
            </w:pPr>
            <w:r>
              <w:rPr>
                <w:rFonts w:ascii="Lucida Sans" w:hAnsi="Lucida Sans"/>
                <w:sz w:val="20"/>
                <w:szCs w:val="20"/>
              </w:rPr>
              <w:t>£63,423</w:t>
            </w:r>
          </w:p>
        </w:tc>
      </w:tr>
      <w:tr w:rsidR="0062108F" w14:paraId="02585C88" w14:textId="77777777" w:rsidTr="00CF565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8C682D" w14:textId="2B649D38" w:rsidR="0062108F" w:rsidRDefault="0062108F" w:rsidP="0062108F">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tcPr>
          <w:p w14:paraId="10856F88" w14:textId="4DF029BC" w:rsidR="0062108F" w:rsidRDefault="0062108F" w:rsidP="0062108F">
            <w:pPr>
              <w:rPr>
                <w:rFonts w:ascii="Lucida Sans" w:hAnsi="Lucida Sans"/>
                <w:sz w:val="20"/>
                <w:szCs w:val="20"/>
              </w:rPr>
            </w:pPr>
            <w:r>
              <w:rPr>
                <w:rFonts w:ascii="Lucida Sans" w:hAnsi="Lucida Sans"/>
                <w:sz w:val="20"/>
                <w:szCs w:val="20"/>
              </w:rPr>
              <w:t>£51,017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470A5" w14:textId="117DFA93" w:rsidR="0062108F" w:rsidRDefault="0062108F" w:rsidP="0062108F">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tcPr>
          <w:p w14:paraId="2D326BA5" w14:textId="290294BF" w:rsidR="0062108F" w:rsidRDefault="0062108F" w:rsidP="0062108F">
            <w:pPr>
              <w:rPr>
                <w:rFonts w:ascii="Lucida Sans" w:hAnsi="Lucida Sans"/>
                <w:sz w:val="20"/>
                <w:szCs w:val="20"/>
              </w:rPr>
            </w:pPr>
            <w:r>
              <w:rPr>
                <w:rFonts w:ascii="Lucida Sans" w:hAnsi="Lucida Sans"/>
                <w:sz w:val="20"/>
                <w:szCs w:val="20"/>
              </w:rPr>
              <w:t>£58,398 (ST6 to ST8)</w:t>
            </w:r>
          </w:p>
        </w:tc>
      </w:tr>
      <w:tr w:rsidR="002E3D77" w:rsidRPr="000A5E99" w14:paraId="4F29C98D" w14:textId="77777777" w:rsidTr="006A230D">
        <w:tc>
          <w:tcPr>
            <w:tcW w:w="2434" w:type="dxa"/>
            <w:shd w:val="clear" w:color="auto" w:fill="D9D9D9" w:themeFill="background1" w:themeFillShade="D9"/>
          </w:tcPr>
          <w:p w14:paraId="1FE6E38B" w14:textId="77777777" w:rsidR="002E3D77" w:rsidRDefault="002E3D77" w:rsidP="006A230D">
            <w:pPr>
              <w:rPr>
                <w:rFonts w:ascii="Lucida Sans" w:hAnsi="Lucida Sans"/>
                <w:sz w:val="20"/>
                <w:szCs w:val="20"/>
              </w:rPr>
            </w:pPr>
            <w:r>
              <w:rPr>
                <w:rFonts w:ascii="Lucida Sans" w:hAnsi="Lucida Sans"/>
                <w:sz w:val="20"/>
                <w:szCs w:val="20"/>
              </w:rPr>
              <w:t>Associated NHS Trust</w:t>
            </w:r>
          </w:p>
        </w:tc>
        <w:tc>
          <w:tcPr>
            <w:tcW w:w="6870" w:type="dxa"/>
            <w:gridSpan w:val="3"/>
          </w:tcPr>
          <w:p w14:paraId="77B3FE25" w14:textId="77777777" w:rsidR="002E3D77" w:rsidRDefault="002E3D77" w:rsidP="006A230D">
            <w:pPr>
              <w:rPr>
                <w:rFonts w:ascii="Lucida Sans" w:hAnsi="Lucida Sans"/>
                <w:sz w:val="20"/>
                <w:szCs w:val="20"/>
              </w:rPr>
            </w:pPr>
            <w:r>
              <w:rPr>
                <w:rFonts w:ascii="Lucida Sans" w:hAnsi="Lucida Sans"/>
                <w:sz w:val="20"/>
                <w:szCs w:val="20"/>
              </w:rPr>
              <w:t>University Hospital Southampton NHS Foundation Trust (UHS)</w:t>
            </w:r>
          </w:p>
        </w:tc>
      </w:tr>
      <w:tr w:rsidR="002E3D77" w:rsidRPr="000A5E99" w14:paraId="1EDACFD1" w14:textId="77777777" w:rsidTr="006A230D">
        <w:tc>
          <w:tcPr>
            <w:tcW w:w="2434" w:type="dxa"/>
            <w:shd w:val="clear" w:color="auto" w:fill="D9D9D9" w:themeFill="background1" w:themeFillShade="D9"/>
          </w:tcPr>
          <w:p w14:paraId="112606A9" w14:textId="77777777" w:rsidR="002E3D77" w:rsidRPr="000A5E99" w:rsidRDefault="002E3D77" w:rsidP="006A230D">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3"/>
          </w:tcPr>
          <w:p w14:paraId="7ADA2C1A" w14:textId="77777777" w:rsidR="002E3D77" w:rsidRPr="000A5E99" w:rsidRDefault="002E3D77" w:rsidP="006A230D">
            <w:pPr>
              <w:rPr>
                <w:rFonts w:ascii="Lucida Sans" w:hAnsi="Lucida Sans"/>
                <w:sz w:val="20"/>
                <w:szCs w:val="20"/>
              </w:rPr>
            </w:pPr>
            <w:r w:rsidRPr="000A5E99">
              <w:rPr>
                <w:rFonts w:ascii="Lucida Sans" w:hAnsi="Lucida Sans"/>
                <w:sz w:val="20"/>
                <w:szCs w:val="20"/>
              </w:rPr>
              <w:t>Balanced portfolio</w:t>
            </w:r>
          </w:p>
        </w:tc>
      </w:tr>
      <w:tr w:rsidR="002E3D77" w:rsidRPr="000A5E99" w14:paraId="11E32D7A" w14:textId="77777777" w:rsidTr="006A230D">
        <w:tc>
          <w:tcPr>
            <w:tcW w:w="2434" w:type="dxa"/>
            <w:shd w:val="clear" w:color="auto" w:fill="D9D9D9" w:themeFill="background1" w:themeFillShade="D9"/>
          </w:tcPr>
          <w:p w14:paraId="4B634DD5" w14:textId="77777777" w:rsidR="002E3D77" w:rsidRPr="000A5E99" w:rsidRDefault="002E3D77" w:rsidP="006A230D">
            <w:pPr>
              <w:rPr>
                <w:rFonts w:ascii="Lucida Sans" w:hAnsi="Lucida Sans"/>
                <w:sz w:val="20"/>
                <w:szCs w:val="20"/>
              </w:rPr>
            </w:pPr>
            <w:r w:rsidRPr="000A5E99">
              <w:rPr>
                <w:rFonts w:ascii="Lucida Sans" w:hAnsi="Lucida Sans"/>
                <w:sz w:val="20"/>
                <w:szCs w:val="20"/>
              </w:rPr>
              <w:t>Posts responsible to:</w:t>
            </w:r>
          </w:p>
        </w:tc>
        <w:tc>
          <w:tcPr>
            <w:tcW w:w="6870" w:type="dxa"/>
            <w:gridSpan w:val="3"/>
          </w:tcPr>
          <w:p w14:paraId="3BADB41A" w14:textId="7A1018B2" w:rsidR="002E3D77" w:rsidRPr="000A5E99" w:rsidRDefault="002E3D77" w:rsidP="00CF565F">
            <w:pPr>
              <w:rPr>
                <w:rFonts w:ascii="Lucida Sans" w:hAnsi="Lucida Sans"/>
                <w:sz w:val="20"/>
                <w:szCs w:val="20"/>
              </w:rPr>
            </w:pPr>
            <w:r>
              <w:rPr>
                <w:rFonts w:ascii="Lucida Sans" w:hAnsi="Lucida Sans"/>
                <w:sz w:val="20"/>
                <w:szCs w:val="20"/>
              </w:rPr>
              <w:t>Professor</w:t>
            </w:r>
            <w:r w:rsidR="00CF565F">
              <w:rPr>
                <w:rFonts w:ascii="Lucida Sans" w:hAnsi="Lucida Sans"/>
                <w:sz w:val="20"/>
                <w:szCs w:val="20"/>
              </w:rPr>
              <w:t>s</w:t>
            </w:r>
            <w:r>
              <w:rPr>
                <w:rFonts w:ascii="Lucida Sans" w:hAnsi="Lucida Sans"/>
                <w:sz w:val="20"/>
                <w:szCs w:val="20"/>
              </w:rPr>
              <w:t xml:space="preserve"> of </w:t>
            </w:r>
            <w:r w:rsidR="00CF565F">
              <w:rPr>
                <w:rFonts w:ascii="Lucida Sans" w:hAnsi="Lucida Sans"/>
                <w:sz w:val="20"/>
                <w:szCs w:val="20"/>
              </w:rPr>
              <w:t>Neurology and Neurosurgery</w:t>
            </w:r>
          </w:p>
        </w:tc>
      </w:tr>
      <w:tr w:rsidR="002E3D77" w:rsidRPr="000A5E99" w14:paraId="64E38F9A" w14:textId="77777777" w:rsidTr="006A230D">
        <w:tc>
          <w:tcPr>
            <w:tcW w:w="2434" w:type="dxa"/>
            <w:shd w:val="clear" w:color="auto" w:fill="D9D9D9" w:themeFill="background1" w:themeFillShade="D9"/>
          </w:tcPr>
          <w:p w14:paraId="5354679A" w14:textId="77777777" w:rsidR="002E3D77" w:rsidRPr="000A5E99" w:rsidRDefault="002E3D77" w:rsidP="006A230D">
            <w:pPr>
              <w:rPr>
                <w:rFonts w:ascii="Lucida Sans" w:hAnsi="Lucida Sans"/>
                <w:sz w:val="20"/>
                <w:szCs w:val="20"/>
              </w:rPr>
            </w:pPr>
            <w:r w:rsidRPr="000A5E99">
              <w:rPr>
                <w:rFonts w:ascii="Lucida Sans" w:hAnsi="Lucida Sans"/>
                <w:sz w:val="20"/>
                <w:szCs w:val="20"/>
              </w:rPr>
              <w:t>Posts responsible for:</w:t>
            </w:r>
          </w:p>
        </w:tc>
        <w:tc>
          <w:tcPr>
            <w:tcW w:w="6870" w:type="dxa"/>
            <w:gridSpan w:val="3"/>
            <w:shd w:val="clear" w:color="auto" w:fill="auto"/>
          </w:tcPr>
          <w:p w14:paraId="68176751" w14:textId="77777777" w:rsidR="002E3D77" w:rsidRPr="00381A9C" w:rsidRDefault="002E3D77" w:rsidP="006A230D">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51C380C5" w14:textId="77777777" w:rsidR="002E3D77" w:rsidRDefault="002E3D77" w:rsidP="00A47EC6">
      <w:pPr>
        <w:outlineLvl w:val="0"/>
        <w:rPr>
          <w:rFonts w:ascii="Lucida Sans" w:hAnsi="Lucida Sans"/>
          <w:b/>
        </w:rPr>
      </w:pPr>
    </w:p>
    <w:p w14:paraId="0EC38917"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7E6EE210"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7EE36E2E" w14:textId="77777777" w:rsidR="008F5308" w:rsidRPr="008F5308" w:rsidRDefault="008F5308" w:rsidP="00A47EC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1D449542" w14:textId="36164B48" w:rsidR="00DB4C9D" w:rsidRDefault="0068746F" w:rsidP="00DB4C9D">
      <w:pPr>
        <w:rPr>
          <w:rFonts w:ascii="Lucida Sans" w:hAnsi="Lucida Sans"/>
          <w:bCs/>
          <w:sz w:val="20"/>
          <w:szCs w:val="20"/>
        </w:rPr>
      </w:pPr>
      <w:r w:rsidRPr="009B4AB9">
        <w:rPr>
          <w:rFonts w:ascii="Lucida Sans" w:hAnsi="Lucida Sans"/>
          <w:bCs/>
          <w:sz w:val="20"/>
          <w:szCs w:val="20"/>
        </w:rPr>
        <w:t>The Faculty of Medicine</w:t>
      </w:r>
      <w:r w:rsidR="001E4F03" w:rsidRPr="009B4AB9">
        <w:rPr>
          <w:rFonts w:ascii="Lucida Sans" w:hAnsi="Lucida Sans"/>
          <w:bCs/>
          <w:sz w:val="20"/>
          <w:szCs w:val="20"/>
        </w:rPr>
        <w:t xml:space="preserve"> supported by University Hospital Southampton NHS Foundation Trust wishes to appoint</w:t>
      </w:r>
      <w:r w:rsidR="00070531">
        <w:rPr>
          <w:rFonts w:ascii="Lucida Sans" w:hAnsi="Lucida Sans"/>
          <w:bCs/>
          <w:sz w:val="20"/>
          <w:szCs w:val="20"/>
        </w:rPr>
        <w:t xml:space="preserve"> a</w:t>
      </w:r>
      <w:r w:rsidR="001E4F03" w:rsidRPr="009B4AB9">
        <w:rPr>
          <w:rFonts w:ascii="Lucida Sans" w:hAnsi="Lucida Sans"/>
          <w:bCs/>
          <w:sz w:val="20"/>
          <w:szCs w:val="20"/>
        </w:rPr>
        <w:t xml:space="preserve"> </w:t>
      </w:r>
      <w:r w:rsidR="00DB4C9D">
        <w:rPr>
          <w:rFonts w:ascii="Lucida Sans" w:hAnsi="Lucida Sans"/>
          <w:bCs/>
          <w:sz w:val="20"/>
          <w:szCs w:val="20"/>
        </w:rPr>
        <w:t xml:space="preserve">Clinical </w:t>
      </w:r>
      <w:r w:rsidR="00DB4C9D" w:rsidRPr="0087273B">
        <w:rPr>
          <w:rFonts w:ascii="Lucida Sans" w:hAnsi="Lucida Sans"/>
          <w:bCs/>
          <w:sz w:val="20"/>
          <w:szCs w:val="20"/>
        </w:rPr>
        <w:t xml:space="preserve">Lecturer </w:t>
      </w:r>
      <w:r w:rsidR="00C56C5D" w:rsidRPr="0087273B">
        <w:rPr>
          <w:rFonts w:ascii="Lucida Sans" w:hAnsi="Lucida Sans"/>
          <w:bCs/>
          <w:sz w:val="20"/>
          <w:szCs w:val="20"/>
        </w:rPr>
        <w:t xml:space="preserve">in </w:t>
      </w:r>
      <w:r w:rsidR="00CF565F">
        <w:rPr>
          <w:rFonts w:ascii="Lucida Sans" w:hAnsi="Lucida Sans"/>
          <w:bCs/>
          <w:sz w:val="20"/>
          <w:szCs w:val="20"/>
        </w:rPr>
        <w:t>Neuros</w:t>
      </w:r>
      <w:r w:rsidR="0087273B" w:rsidRPr="0087273B">
        <w:rPr>
          <w:rFonts w:ascii="Lucida Sans" w:hAnsi="Lucida Sans"/>
          <w:bCs/>
          <w:sz w:val="20"/>
          <w:szCs w:val="20"/>
        </w:rPr>
        <w:t>urgery.</w:t>
      </w:r>
    </w:p>
    <w:p w14:paraId="6B1ECE2E" w14:textId="77777777" w:rsidR="005B4631" w:rsidRDefault="005B4631" w:rsidP="00DB4C9D">
      <w:pPr>
        <w:rPr>
          <w:rFonts w:ascii="Lucida Sans" w:hAnsi="Lucida Sans"/>
          <w:bCs/>
          <w:sz w:val="20"/>
          <w:szCs w:val="20"/>
        </w:rPr>
      </w:pPr>
    </w:p>
    <w:p w14:paraId="372F1051" w14:textId="77777777" w:rsidR="000D37A2" w:rsidRDefault="00DB4C9D" w:rsidP="00DB4C9D">
      <w:pPr>
        <w:rPr>
          <w:rFonts w:ascii="Lucida Sans" w:hAnsi="Lucida Sans"/>
          <w:sz w:val="20"/>
        </w:rPr>
      </w:pPr>
      <w:r w:rsidRPr="002F7EE4">
        <w:rPr>
          <w:rFonts w:ascii="Lucida Sans" w:hAnsi="Lucida Sans"/>
          <w:sz w:val="20"/>
        </w:rPr>
        <w:t xml:space="preserve">The post-holder will be pursuing </w:t>
      </w:r>
      <w:r w:rsidR="000D37A2">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005B4631" w:rsidRPr="0087273B">
        <w:rPr>
          <w:rFonts w:ascii="Lucida Sans" w:hAnsi="Lucida Sans"/>
          <w:sz w:val="20"/>
        </w:rPr>
        <w:t xml:space="preserve">the </w:t>
      </w:r>
      <w:r w:rsidR="000D37A2">
        <w:rPr>
          <w:rFonts w:ascii="Lucida Sans" w:hAnsi="Lucida Sans"/>
          <w:sz w:val="20"/>
        </w:rPr>
        <w:t>Clinical and Experimental Sciences</w:t>
      </w:r>
      <w:r w:rsidR="007E523F" w:rsidRPr="0087273B">
        <w:rPr>
          <w:rFonts w:ascii="Lucida Sans" w:hAnsi="Lucida Sans"/>
          <w:sz w:val="20"/>
        </w:rPr>
        <w:t xml:space="preserve"> </w:t>
      </w:r>
      <w:r w:rsidR="008174C2">
        <w:rPr>
          <w:rFonts w:ascii="Lucida Sans" w:hAnsi="Lucida Sans"/>
          <w:sz w:val="20"/>
        </w:rPr>
        <w:t xml:space="preserve">School </w:t>
      </w:r>
      <w:r w:rsidRPr="0087273B">
        <w:rPr>
          <w:rFonts w:ascii="Lucida Sans" w:hAnsi="Lucida Sans"/>
          <w:sz w:val="20"/>
        </w:rPr>
        <w:t>of the Faculty of Medicine, University of South</w:t>
      </w:r>
      <w:r w:rsidRPr="002F7EE4">
        <w:rPr>
          <w:rFonts w:ascii="Lucida Sans" w:hAnsi="Lucida Sans"/>
          <w:sz w:val="20"/>
        </w:rPr>
        <w:t xml:space="preserve">ampton.  </w:t>
      </w:r>
    </w:p>
    <w:p w14:paraId="2937D580" w14:textId="77777777" w:rsidR="000D37A2" w:rsidRDefault="000D37A2" w:rsidP="00DB4C9D">
      <w:pPr>
        <w:rPr>
          <w:rFonts w:ascii="Lucida Sans" w:hAnsi="Lucida Sans"/>
          <w:sz w:val="20"/>
        </w:rPr>
      </w:pPr>
    </w:p>
    <w:p w14:paraId="423D1C73" w14:textId="6545C229"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 xml:space="preserve">The post-holder will also have clinical commitments at University Hospital Southampton NHS Foundation Trust that will lead to the acquisition of clinical skills required for full registration within the specialty. The department of </w:t>
      </w:r>
      <w:r w:rsidR="00CF565F">
        <w:rPr>
          <w:rFonts w:ascii="Lucida Sans" w:eastAsia="Times New Roman" w:hAnsi="Lucida Sans" w:cs="Calibri"/>
          <w:color w:val="000000"/>
          <w:sz w:val="20"/>
          <w:szCs w:val="20"/>
        </w:rPr>
        <w:t>neuro</w:t>
      </w:r>
      <w:r>
        <w:rPr>
          <w:rFonts w:ascii="Lucida Sans" w:eastAsia="Times New Roman" w:hAnsi="Lucida Sans" w:cs="Calibri"/>
          <w:color w:val="000000"/>
          <w:sz w:val="20"/>
          <w:szCs w:val="20"/>
        </w:rPr>
        <w:t xml:space="preserve">surgery offers an exciting opportunity to gain experience in the treatment of a wide range of </w:t>
      </w:r>
      <w:r w:rsidR="00CF565F">
        <w:rPr>
          <w:rFonts w:ascii="Lucida Sans" w:eastAsia="Times New Roman" w:hAnsi="Lucida Sans" w:cs="Calibri"/>
          <w:color w:val="000000"/>
          <w:sz w:val="20"/>
          <w:szCs w:val="20"/>
        </w:rPr>
        <w:t>neuro</w:t>
      </w:r>
      <w:r>
        <w:rPr>
          <w:rFonts w:ascii="Lucida Sans" w:eastAsia="Times New Roman" w:hAnsi="Lucida Sans" w:cs="Calibri"/>
          <w:color w:val="000000"/>
          <w:sz w:val="20"/>
          <w:szCs w:val="20"/>
        </w:rPr>
        <w:t>vascular conditions in a high volume, cohesive and friendly multidisciplinary environment. </w:t>
      </w:r>
    </w:p>
    <w:p w14:paraId="3D7933AE" w14:textId="77777777"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 </w:t>
      </w:r>
    </w:p>
    <w:p w14:paraId="6DC0741F" w14:textId="1C3933AC"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 xml:space="preserve">The post is intended for an applicant within the specialty of </w:t>
      </w:r>
      <w:r w:rsidR="00CF565F">
        <w:rPr>
          <w:rFonts w:ascii="Lucida Sans" w:eastAsia="Times New Roman" w:hAnsi="Lucida Sans" w:cs="Calibri"/>
          <w:color w:val="000000"/>
          <w:sz w:val="20"/>
          <w:szCs w:val="20"/>
        </w:rPr>
        <w:t>Neuros</w:t>
      </w:r>
      <w:r>
        <w:rPr>
          <w:rFonts w:ascii="Lucida Sans" w:eastAsia="Times New Roman" w:hAnsi="Lucida Sans" w:cs="Calibri"/>
          <w:color w:val="000000"/>
          <w:sz w:val="20"/>
          <w:szCs w:val="20"/>
        </w:rPr>
        <w:t xml:space="preserve">urgery, who has a research interest in </w:t>
      </w:r>
      <w:r w:rsidR="00CF565F">
        <w:rPr>
          <w:rFonts w:ascii="Lucida Sans" w:eastAsia="Times New Roman" w:hAnsi="Lucida Sans" w:cs="Calibri"/>
          <w:color w:val="000000"/>
          <w:sz w:val="20"/>
          <w:szCs w:val="20"/>
        </w:rPr>
        <w:t>Neuros</w:t>
      </w:r>
      <w:r>
        <w:rPr>
          <w:rFonts w:ascii="Lucida Sans" w:eastAsia="Times New Roman" w:hAnsi="Lucida Sans" w:cs="Calibri"/>
          <w:color w:val="000000"/>
          <w:sz w:val="20"/>
          <w:szCs w:val="20"/>
        </w:rPr>
        <w:t xml:space="preserve">urgery and </w:t>
      </w:r>
      <w:r w:rsidR="00CF565F">
        <w:rPr>
          <w:rFonts w:ascii="Lucida Sans" w:eastAsia="Times New Roman" w:hAnsi="Lucida Sans" w:cs="Calibri"/>
          <w:color w:val="000000"/>
          <w:sz w:val="20"/>
          <w:szCs w:val="20"/>
        </w:rPr>
        <w:t>Subarachnoid Haemorrhage</w:t>
      </w:r>
      <w:r w:rsidR="00EB3EC3">
        <w:rPr>
          <w:rFonts w:ascii="Lucida Sans" w:eastAsia="Times New Roman" w:hAnsi="Lucida Sans" w:cs="Calibri"/>
          <w:color w:val="000000"/>
          <w:sz w:val="20"/>
          <w:szCs w:val="20"/>
        </w:rPr>
        <w:t>.  P</w:t>
      </w:r>
      <w:r>
        <w:rPr>
          <w:rFonts w:ascii="Lucida Sans" w:eastAsia="Times New Roman" w:hAnsi="Lucida Sans" w:cs="Calibri"/>
          <w:color w:val="000000"/>
          <w:sz w:val="20"/>
          <w:szCs w:val="20"/>
        </w:rPr>
        <w:t xml:space="preserve">lanned projects will utilise well </w:t>
      </w:r>
      <w:r w:rsidR="00CF565F">
        <w:rPr>
          <w:rFonts w:ascii="Lucida Sans" w:eastAsia="Times New Roman" w:hAnsi="Lucida Sans" w:cs="Calibri"/>
          <w:color w:val="000000"/>
          <w:sz w:val="20"/>
          <w:szCs w:val="20"/>
        </w:rPr>
        <w:t xml:space="preserve">established expertise from Neurosurgery, Neurology and Neuroradiology </w:t>
      </w:r>
      <w:r>
        <w:rPr>
          <w:rFonts w:ascii="Lucida Sans" w:eastAsia="Times New Roman" w:hAnsi="Lucida Sans" w:cs="Calibri"/>
          <w:color w:val="000000"/>
          <w:sz w:val="20"/>
          <w:szCs w:val="20"/>
        </w:rPr>
        <w:t xml:space="preserve">departments. There will be opportunities to expand on existing collaborations with groups </w:t>
      </w:r>
      <w:r w:rsidR="00CF565F">
        <w:rPr>
          <w:rFonts w:ascii="Lucida Sans" w:eastAsia="Times New Roman" w:hAnsi="Lucida Sans" w:cs="Calibri"/>
          <w:color w:val="000000"/>
          <w:sz w:val="20"/>
          <w:szCs w:val="20"/>
        </w:rPr>
        <w:t xml:space="preserve">around the world including collaborators within the </w:t>
      </w:r>
      <w:hyperlink r:id="rId10" w:history="1">
        <w:r w:rsidR="00CF565F" w:rsidRPr="00CF565F">
          <w:rPr>
            <w:rStyle w:val="Hyperlink"/>
            <w:rFonts w:ascii="Lucida Sans" w:eastAsia="Times New Roman" w:hAnsi="Lucida Sans" w:cs="Calibri"/>
            <w:sz w:val="20"/>
            <w:szCs w:val="20"/>
          </w:rPr>
          <w:t>HATCH consortium</w:t>
        </w:r>
      </w:hyperlink>
      <w:r>
        <w:rPr>
          <w:rFonts w:ascii="Lucida Sans" w:eastAsia="Times New Roman" w:hAnsi="Lucida Sans" w:cs="Calibri"/>
          <w:color w:val="000000"/>
          <w:sz w:val="20"/>
          <w:szCs w:val="20"/>
        </w:rPr>
        <w:t>.</w:t>
      </w:r>
    </w:p>
    <w:p w14:paraId="0B33C845" w14:textId="77777777"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 </w:t>
      </w:r>
    </w:p>
    <w:p w14:paraId="5C96AE0C" w14:textId="77777777"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The applicant will have a higher research degree (or have submitted for such a degree) and appropriate research experience.</w:t>
      </w:r>
    </w:p>
    <w:p w14:paraId="1B9FD7EE" w14:textId="77777777"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 </w:t>
      </w:r>
    </w:p>
    <w:p w14:paraId="5E2B8992" w14:textId="29700118"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The post is subject to terms and conditions of service determined by the University of Southampton and in its honorary clinical capacity by the University Hospital Southampton Foundation Trust Board.</w:t>
      </w:r>
    </w:p>
    <w:p w14:paraId="6FAFD6E3" w14:textId="77777777" w:rsidR="00DB4C9D" w:rsidRDefault="00DB4C9D" w:rsidP="00DB4C9D">
      <w:pPr>
        <w:rPr>
          <w:rFonts w:ascii="Lucida Sans" w:hAnsi="Lucida Sans"/>
          <w:bCs/>
          <w:sz w:val="20"/>
          <w:szCs w:val="20"/>
        </w:rPr>
      </w:pPr>
    </w:p>
    <w:p w14:paraId="4D707D6A" w14:textId="77777777" w:rsidR="00153F55" w:rsidRDefault="00153F55">
      <w:pPr>
        <w:rPr>
          <w:rFonts w:ascii="Lucida Sans" w:hAnsi="Lucida Sans"/>
          <w:b/>
        </w:rPr>
      </w:pPr>
      <w:r>
        <w:rPr>
          <w:rFonts w:ascii="Lucida Sans" w:hAnsi="Lucida Sans"/>
          <w:b/>
        </w:rPr>
        <w:br w:type="page"/>
      </w:r>
    </w:p>
    <w:p w14:paraId="47D3B2B5" w14:textId="221652BA" w:rsidR="00381A9C" w:rsidRDefault="009B4AB9" w:rsidP="00A47EC6">
      <w:pPr>
        <w:outlineLvl w:val="0"/>
        <w:rPr>
          <w:rFonts w:ascii="Lucida Sans" w:hAnsi="Lucida Sans"/>
          <w:b/>
        </w:rPr>
      </w:pPr>
      <w:r>
        <w:rPr>
          <w:rFonts w:ascii="Lucida Sans" w:hAnsi="Lucida Sans"/>
          <w:b/>
        </w:rPr>
        <w:lastRenderedPageBreak/>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1E4F03">
      <w:pPr>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1E4F03">
      <w:pPr>
        <w:rPr>
          <w:rFonts w:ascii="Lucida Sans" w:hAnsi="Lucida Sans"/>
          <w:sz w:val="20"/>
          <w:szCs w:val="20"/>
        </w:rPr>
      </w:pPr>
    </w:p>
    <w:p w14:paraId="2D2E781D" w14:textId="575F3A38" w:rsidR="001E4F03" w:rsidRDefault="001E4F03" w:rsidP="001E4F03">
      <w:pPr>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1"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B496203" w14:textId="77777777" w:rsidR="00153F55" w:rsidRPr="00A47EC6" w:rsidRDefault="00153F55" w:rsidP="001E4F03">
      <w:pPr>
        <w:rPr>
          <w:rFonts w:ascii="Lucida Sans" w:hAnsi="Lucida Sans"/>
          <w:sz w:val="20"/>
          <w:szCs w:val="20"/>
        </w:rPr>
      </w:pPr>
    </w:p>
    <w:p w14:paraId="4D0B9FDC" w14:textId="4782706B" w:rsidR="001E4F03" w:rsidRDefault="009B4AB9" w:rsidP="008C17B2">
      <w:pPr>
        <w:rPr>
          <w:rFonts w:ascii="Lucida Sans" w:hAnsi="Lucida Sans"/>
          <w:b/>
        </w:rPr>
      </w:pPr>
      <w:r>
        <w:rPr>
          <w:rFonts w:ascii="Lucida Sans" w:hAnsi="Lucida Sans"/>
          <w:b/>
        </w:rPr>
        <w:t>T</w:t>
      </w:r>
      <w:r w:rsidR="001E4F03">
        <w:rPr>
          <w:rFonts w:ascii="Lucida Sans" w:hAnsi="Lucida Sans"/>
          <w:b/>
        </w:rPr>
        <w:t>he Faculty of Medicine</w:t>
      </w:r>
    </w:p>
    <w:p w14:paraId="52008A1F" w14:textId="77777777" w:rsidR="001E4F03" w:rsidRDefault="001E4F03" w:rsidP="00A47EC6">
      <w:pPr>
        <w:outlineLvl w:val="0"/>
        <w:rPr>
          <w:rFonts w:ascii="Lucida Sans" w:hAnsi="Lucida Sans"/>
          <w:b/>
        </w:rPr>
      </w:pPr>
    </w:p>
    <w:p w14:paraId="79BFA0DF" w14:textId="508EC351" w:rsidR="00381A9C" w:rsidRDefault="008C17B2" w:rsidP="001E4F03">
      <w:pPr>
        <w:jc w:val="center"/>
        <w:outlineLvl w:val="0"/>
        <w:rPr>
          <w:rFonts w:ascii="Lucida Sans" w:hAnsi="Lucida Sans"/>
          <w:b/>
        </w:rPr>
      </w:pPr>
      <w:r>
        <w:rPr>
          <w:noProof/>
        </w:rPr>
        <w:drawing>
          <wp:inline distT="0" distB="0" distL="0" distR="0" wp14:anchorId="0FE7D2FF" wp14:editId="6758DF0B">
            <wp:extent cx="3039493" cy="393073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3045701" cy="3938760"/>
                    </a:xfrm>
                    <a:prstGeom prst="rect">
                      <a:avLst/>
                    </a:prstGeom>
                  </pic:spPr>
                </pic:pic>
              </a:graphicData>
            </a:graphic>
          </wp:inline>
        </w:drawing>
      </w:r>
    </w:p>
    <w:p w14:paraId="50CCFEB1" w14:textId="77777777" w:rsidR="001E4F03" w:rsidRDefault="001E4F03" w:rsidP="00A47EC6">
      <w:pPr>
        <w:outlineLvl w:val="0"/>
        <w:rPr>
          <w:rFonts w:ascii="Arial" w:hAnsi="Arial" w:cs="Arial"/>
        </w:rPr>
      </w:pPr>
    </w:p>
    <w:p w14:paraId="6353A05E" w14:textId="77777777" w:rsidR="001E4F03" w:rsidRPr="00A47EC6" w:rsidRDefault="001E4F03" w:rsidP="001E4F03">
      <w:pPr>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1E4F03">
      <w:pPr>
        <w:rPr>
          <w:rFonts w:ascii="Lucida Sans" w:hAnsi="Lucida Sans"/>
          <w:bCs/>
          <w:sz w:val="20"/>
          <w:szCs w:val="20"/>
        </w:rPr>
      </w:pPr>
    </w:p>
    <w:p w14:paraId="11D8B990" w14:textId="77777777" w:rsidR="001E4F03" w:rsidRDefault="001E4F03" w:rsidP="001E4F03">
      <w:pPr>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42537AB1" w14:textId="77777777" w:rsidR="001E4F03" w:rsidRDefault="001E4F03" w:rsidP="00A47EC6">
      <w:pPr>
        <w:outlineLvl w:val="0"/>
        <w:rPr>
          <w:rFonts w:ascii="Arial" w:hAnsi="Arial" w:cs="Arial"/>
        </w:rPr>
      </w:pPr>
    </w:p>
    <w:p w14:paraId="1796A6AE" w14:textId="77777777" w:rsidR="00381A9C" w:rsidRPr="009B4AB9" w:rsidRDefault="001E4F03" w:rsidP="00A47EC6">
      <w:pPr>
        <w:outlineLvl w:val="0"/>
        <w:rPr>
          <w:rFonts w:ascii="Lucida Sans" w:hAnsi="Lucida Sans"/>
          <w:bCs/>
          <w:sz w:val="20"/>
          <w:szCs w:val="20"/>
        </w:rPr>
      </w:pPr>
      <w:r w:rsidRPr="009B4AB9">
        <w:rPr>
          <w:rFonts w:ascii="Lucida Sans" w:hAnsi="Lucida Sans"/>
          <w:bCs/>
          <w:sz w:val="20"/>
          <w:szCs w:val="20"/>
        </w:rPr>
        <w:t>The Faculty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ED6C98F" w14:textId="77777777" w:rsidR="00153F55" w:rsidRDefault="009B4AB9" w:rsidP="00153F55">
      <w:pPr>
        <w:rPr>
          <w:rFonts w:ascii="Lucida Sans" w:hAnsi="Lucida Sans"/>
          <w:b/>
          <w:bCs/>
          <w:sz w:val="20"/>
          <w:szCs w:val="20"/>
        </w:rPr>
      </w:pPr>
      <w:r>
        <w:rPr>
          <w:rFonts w:ascii="Lucida Sans" w:hAnsi="Lucida Sans"/>
          <w:b/>
        </w:rPr>
        <w:br w:type="page"/>
      </w:r>
      <w:r w:rsidR="00153F55">
        <w:rPr>
          <w:rFonts w:ascii="Lucida Sans" w:hAnsi="Lucida Sans"/>
          <w:b/>
          <w:bCs/>
          <w:sz w:val="20"/>
          <w:szCs w:val="20"/>
        </w:rPr>
        <w:lastRenderedPageBreak/>
        <w:t>The Student Experience</w:t>
      </w:r>
    </w:p>
    <w:p w14:paraId="60FF32C9" w14:textId="77777777" w:rsidR="00153F55" w:rsidRDefault="00153F55" w:rsidP="00153F55">
      <w:pPr>
        <w:rPr>
          <w:rFonts w:ascii="Lucida Sans" w:hAnsi="Lucida Sans"/>
          <w:sz w:val="20"/>
          <w:szCs w:val="20"/>
        </w:rPr>
      </w:pPr>
    </w:p>
    <w:p w14:paraId="394C3FEE" w14:textId="77777777" w:rsidR="00153F55" w:rsidRDefault="00153F55" w:rsidP="00153F55">
      <w:pPr>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BMedSc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3D3D716A" w14:textId="77777777" w:rsidR="00153F55" w:rsidRDefault="00153F55" w:rsidP="00153F55">
      <w:pPr>
        <w:rPr>
          <w:rFonts w:ascii="Lucida Sans" w:hAnsi="Lucida Sans"/>
          <w:sz w:val="20"/>
          <w:szCs w:val="20"/>
        </w:rPr>
      </w:pPr>
    </w:p>
    <w:p w14:paraId="7934D52F" w14:textId="77777777" w:rsidR="00153F55" w:rsidRDefault="00153F55" w:rsidP="00153F55">
      <w:pPr>
        <w:rPr>
          <w:rFonts w:ascii="Lucida Sans" w:hAnsi="Lucida Sans"/>
          <w:sz w:val="20"/>
          <w:szCs w:val="20"/>
        </w:rPr>
      </w:pPr>
      <w:r>
        <w:rPr>
          <w:rFonts w:ascii="Lucida Sans" w:hAnsi="Lucida Sans"/>
          <w:sz w:val="20"/>
          <w:szCs w:val="20"/>
        </w:rPr>
        <w:t xml:space="preserve">The BM5 programme has a number of distinctive features.   These include the integrated nature of teaching where the scientific disciplines are taught together in a clinical context using a systems-based approach and the BMedSc programme, a four-month supervised research project undertaken in Year 3. There is also the opportunity, for selected students, to undertake an integrated, intercalated Masters in Medical Science (MMedSc).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7AE35891" w14:textId="77777777" w:rsidR="00153F55" w:rsidRDefault="00153F55" w:rsidP="00153F55">
      <w:pPr>
        <w:rPr>
          <w:rFonts w:ascii="Lucida Sans" w:hAnsi="Lucida Sans"/>
          <w:sz w:val="20"/>
          <w:szCs w:val="20"/>
        </w:rPr>
      </w:pPr>
    </w:p>
    <w:p w14:paraId="1794D622" w14:textId="5216B763" w:rsidR="00161DB4" w:rsidRPr="00A47EC6" w:rsidRDefault="00153F55" w:rsidP="00153F55">
      <w:pPr>
        <w:rPr>
          <w:rFonts w:ascii="Lucida Sans" w:hAnsi="Lucida Sans"/>
          <w:sz w:val="20"/>
          <w:szCs w:val="20"/>
        </w:rPr>
      </w:pPr>
      <w:r>
        <w:rPr>
          <w:rFonts w:ascii="Lucida Sans" w:hAnsi="Lucida Sans"/>
          <w:sz w:val="20"/>
          <w:szCs w:val="20"/>
        </w:rPr>
        <w:t>In addition to the undergraduate BM programmes the School provides four Masters Degree programmes in Public Health, Allergy, Genomics and Diabetes plus an MRres.</w:t>
      </w:r>
    </w:p>
    <w:p w14:paraId="43E78D20" w14:textId="77777777" w:rsidR="00161DB4" w:rsidRPr="00A47EC6" w:rsidRDefault="00161DB4" w:rsidP="00A47EC6">
      <w:pPr>
        <w:outlineLvl w:val="0"/>
        <w:rPr>
          <w:rFonts w:ascii="Lucida Sans" w:hAnsi="Lucida Sans"/>
          <w:sz w:val="20"/>
          <w:szCs w:val="20"/>
        </w:rPr>
      </w:pPr>
    </w:p>
    <w:p w14:paraId="251DD600" w14:textId="77777777"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A47EC6">
      <w:pPr>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A47EC6">
      <w:pPr>
        <w:rPr>
          <w:rFonts w:ascii="Lucida Sans" w:hAnsi="Lucida Sans"/>
          <w:sz w:val="20"/>
          <w:szCs w:val="20"/>
        </w:rPr>
      </w:pPr>
    </w:p>
    <w:p w14:paraId="3799BE28" w14:textId="77777777" w:rsidR="00161DB4" w:rsidRPr="00A47EC6" w:rsidRDefault="00161DB4" w:rsidP="00A47EC6">
      <w:pPr>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78E5A61B" w14:textId="77777777" w:rsidR="006E57E1" w:rsidRDefault="006E57E1" w:rsidP="00A47EC6">
      <w:pPr>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a number of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and Athena Swan, (for which we are currently silver award holders).  We also have a number of staff equality committees who champion the advancement of equalities for diverse groups.</w:t>
      </w: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02315" cy="2425286"/>
                    </a:xfrm>
                    <a:prstGeom prst="rect">
                      <a:avLst/>
                    </a:prstGeom>
                  </pic:spPr>
                </pic:pic>
              </a:graphicData>
            </a:graphic>
          </wp:inline>
        </w:drawing>
      </w:r>
    </w:p>
    <w:p w14:paraId="67192498" w14:textId="77777777" w:rsidR="00AC6282" w:rsidRDefault="00AC6282" w:rsidP="00A47EC6">
      <w:pPr>
        <w:outlineLvl w:val="0"/>
        <w:rPr>
          <w:rFonts w:ascii="Lucida Sans" w:hAnsi="Lucida Sans"/>
          <w:b/>
          <w:bCs/>
          <w:sz w:val="20"/>
          <w:szCs w:val="20"/>
        </w:rPr>
      </w:pPr>
    </w:p>
    <w:p w14:paraId="0C060B80" w14:textId="77777777" w:rsidR="00DB4C9D" w:rsidRDefault="00DB4C9D" w:rsidP="00DB4C9D">
      <w:pPr>
        <w:spacing w:line="264" w:lineRule="auto"/>
        <w:rPr>
          <w:rFonts w:ascii="Lucida Sans" w:hAnsi="Lucida Sans"/>
          <w:sz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5CE148C2" w14:textId="77777777" w:rsidR="00F216DB" w:rsidRPr="006D5D15" w:rsidRDefault="000D6FB5" w:rsidP="006D5D15">
      <w:pPr>
        <w:spacing w:after="180"/>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Trust is also a major centre for teaching and research in association with the University of Southampton and partners including the Medical Research Council and Wellcome Trust.</w:t>
      </w:r>
    </w:p>
    <w:p w14:paraId="49B122A0" w14:textId="77777777" w:rsidR="00F216DB" w:rsidRDefault="00131A89" w:rsidP="006D5D15">
      <w:pPr>
        <w:spacing w:after="180"/>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about 50,000 emergency admissions;</w:t>
      </w:r>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5"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05940AFF" w14:textId="77777777" w:rsidR="00EF6189" w:rsidRDefault="00EF6189" w:rsidP="00EF6189">
      <w:pPr>
        <w:rPr>
          <w:rFonts w:ascii="Lucida Sans" w:eastAsia="Times New Roman" w:hAnsi="Lucida Sans" w:cs="Arial"/>
          <w:sz w:val="20"/>
          <w:szCs w:val="20"/>
        </w:rPr>
      </w:pP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6"/>
          <w:footerReference w:type="default" r:id="rId17"/>
          <w:headerReference w:type="first" r:id="rId18"/>
          <w:footerReference w:type="first" r:id="rId19"/>
          <w:pgSz w:w="11906" w:h="16838"/>
          <w:pgMar w:top="1134" w:right="1134" w:bottom="1009" w:left="1191" w:header="709" w:footer="709" w:gutter="0"/>
          <w:cols w:space="708"/>
          <w:titlePg/>
          <w:docGrid w:linePitch="360"/>
        </w:sectPr>
      </w:pPr>
    </w:p>
    <w:p w14:paraId="42A62E1F" w14:textId="77777777" w:rsidR="004473B7" w:rsidRDefault="004473B7" w:rsidP="00F72737">
      <w:pPr>
        <w:pStyle w:val="DocTitle"/>
        <w:rPr>
          <w:sz w:val="48"/>
          <w:szCs w:val="48"/>
        </w:rPr>
      </w:pPr>
    </w:p>
    <w:p w14:paraId="7C4429EF" w14:textId="77777777" w:rsidR="00F72737" w:rsidRDefault="00F72737" w:rsidP="00F72737">
      <w:pPr>
        <w:pStyle w:val="DocTitle"/>
        <w:rPr>
          <w:sz w:val="48"/>
          <w:szCs w:val="48"/>
        </w:rPr>
      </w:pPr>
      <w:r w:rsidRPr="00AC6282">
        <w:rPr>
          <w:sz w:val="48"/>
          <w:szCs w:val="48"/>
        </w:rPr>
        <w:t>Job Description and Person Specification</w:t>
      </w:r>
    </w:p>
    <w:p w14:paraId="5E09AB63" w14:textId="77777777" w:rsidR="004473B7" w:rsidRPr="00AC6282" w:rsidRDefault="004473B7" w:rsidP="00F72737">
      <w:pPr>
        <w:pStyle w:val="DocTitle"/>
        <w:rPr>
          <w:sz w:val="48"/>
          <w:szCs w:val="48"/>
        </w:rPr>
      </w:pPr>
    </w:p>
    <w:p w14:paraId="3400CEA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6C8A5689" w:rsidR="00421C6D" w:rsidRPr="004473B7" w:rsidRDefault="00421C6D" w:rsidP="00CF565F">
            <w:pPr>
              <w:pStyle w:val="BodyText"/>
              <w:spacing w:before="100" w:beforeAutospacing="1" w:after="100" w:afterAutospacing="1"/>
              <w:rPr>
                <w:rFonts w:ascii="Lucida Sans" w:hAnsi="Lucida Sans"/>
                <w:b w:val="0"/>
                <w:szCs w:val="20"/>
              </w:rPr>
            </w:pPr>
            <w:r w:rsidRPr="004473B7">
              <w:rPr>
                <w:rFonts w:ascii="Lucida Sans" w:hAnsi="Lucida Sans"/>
                <w:b w:val="0"/>
                <w:szCs w:val="20"/>
              </w:rPr>
              <w:t xml:space="preserve">The post-holder will have clinical commitments at University Hospitals Southampton NHS Foundation Trust (UHS), as well as participating in the development of research and teaching within </w:t>
            </w:r>
            <w:r w:rsidR="00CF565F">
              <w:rPr>
                <w:rFonts w:ascii="Lucida Sans" w:hAnsi="Lucida Sans"/>
                <w:b w:val="0"/>
                <w:szCs w:val="20"/>
              </w:rPr>
              <w:t>the Academic Unit of Clinical Neurosciences</w:t>
            </w:r>
            <w:r w:rsidR="002E3D77">
              <w:rPr>
                <w:rFonts w:ascii="Lucida Sans" w:hAnsi="Lucida Sans"/>
                <w:b w:val="0"/>
                <w:szCs w:val="20"/>
              </w:rPr>
              <w:t xml:space="preserve">, </w:t>
            </w:r>
            <w:r w:rsidR="00CF565F">
              <w:rPr>
                <w:rFonts w:ascii="Lucida Sans" w:hAnsi="Lucida Sans"/>
                <w:b w:val="0"/>
                <w:szCs w:val="20"/>
              </w:rPr>
              <w:t xml:space="preserve">School of Clinical &amp; Experimental Sciences, </w:t>
            </w:r>
            <w:r w:rsidRPr="004473B7">
              <w:rPr>
                <w:rFonts w:ascii="Lucida Sans" w:hAnsi="Lucida Sans"/>
                <w:b w:val="0"/>
                <w:szCs w:val="20"/>
              </w:rPr>
              <w:t>Faculty of Medicine. The post is subject to terms and conditions of service, determined by the University of Southampton and in its honorary clinical capacity by the University Hospitals Southampton NHS Foundation Trust Board.</w:t>
            </w:r>
          </w:p>
        </w:tc>
      </w:tr>
    </w:tbl>
    <w:p w14:paraId="67322BE7" w14:textId="77777777" w:rsidR="00F72737" w:rsidRDefault="00F72737" w:rsidP="00F72737">
      <w:pPr>
        <w:rPr>
          <w:rFonts w:ascii="Lucida Sans" w:hAnsi="Lucida Sans"/>
          <w:sz w:val="20"/>
          <w:szCs w:val="20"/>
        </w:rPr>
      </w:pPr>
    </w:p>
    <w:p w14:paraId="0ACB1A0F"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131A89">
        <w:trPr>
          <w:cantSplit/>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E80E7FD" w14:textId="77777777" w:rsidTr="004473B7">
              <w:trPr>
                <w:cantSplit/>
              </w:trPr>
              <w:tc>
                <w:tcPr>
                  <w:tcW w:w="8364" w:type="dxa"/>
                </w:tcPr>
                <w:p w14:paraId="2B85FE7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2A61438A" w14:textId="77777777" w:rsidTr="004473B7">
              <w:trPr>
                <w:cantSplit/>
              </w:trPr>
              <w:tc>
                <w:tcPr>
                  <w:tcW w:w="8364" w:type="dxa"/>
                </w:tcPr>
                <w:p w14:paraId="4250A1F0"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7E8D12AC" w14:textId="77777777" w:rsidTr="004473B7">
              <w:trPr>
                <w:cantSplit/>
              </w:trPr>
              <w:tc>
                <w:tcPr>
                  <w:tcW w:w="8364" w:type="dxa"/>
                </w:tcPr>
                <w:p w14:paraId="7068C651"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2C96EBB3" w14:textId="77777777" w:rsidTr="004473B7">
              <w:trPr>
                <w:cantSplit/>
              </w:trPr>
              <w:tc>
                <w:tcPr>
                  <w:tcW w:w="8364" w:type="dxa"/>
                </w:tcPr>
                <w:p w14:paraId="2A1AF7FB" w14:textId="77777777" w:rsidR="00E115A3"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p w14:paraId="05125D6E" w14:textId="67A814A6" w:rsidR="002E3D77" w:rsidRPr="004473B7" w:rsidRDefault="002E3D77" w:rsidP="00E115A3">
                  <w:pPr>
                    <w:rPr>
                      <w:rFonts w:ascii="Lucida Sans" w:hAnsi="Lucida Sans"/>
                      <w:sz w:val="20"/>
                      <w:szCs w:val="20"/>
                    </w:rPr>
                  </w:pPr>
                </w:p>
              </w:tc>
            </w:tr>
          </w:tbl>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72EA8A3" w14:textId="77777777" w:rsidTr="004473B7">
              <w:trPr>
                <w:cantSplit/>
              </w:trPr>
              <w:tc>
                <w:tcPr>
                  <w:tcW w:w="8364" w:type="dxa"/>
                </w:tcPr>
                <w:p w14:paraId="3ED331EA" w14:textId="413C8E49" w:rsidR="00E115A3" w:rsidRPr="004473B7" w:rsidRDefault="00E115A3" w:rsidP="00E115A3">
                  <w:pPr>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r w:rsidR="002E3D77" w:rsidRPr="004473B7">
                    <w:rPr>
                      <w:rFonts w:ascii="Lucida Sans" w:hAnsi="Lucida Sans"/>
                      <w:sz w:val="20"/>
                      <w:szCs w:val="20"/>
                    </w:rPr>
                    <w:t>practicals</w:t>
                  </w:r>
                  <w:r w:rsidRPr="004473B7">
                    <w:rPr>
                      <w:rFonts w:ascii="Lucida Sans" w:hAnsi="Lucida Sans"/>
                      <w:sz w:val="20"/>
                      <w:szCs w:val="20"/>
                    </w:rPr>
                    <w:t xml:space="preserve"> and seminars.</w:t>
                  </w:r>
                </w:p>
              </w:tc>
            </w:tr>
            <w:tr w:rsidR="00E115A3" w:rsidRPr="004473B7" w14:paraId="2D4F2373" w14:textId="77777777" w:rsidTr="004473B7">
              <w:trPr>
                <w:cantSplit/>
              </w:trPr>
              <w:tc>
                <w:tcPr>
                  <w:tcW w:w="8364" w:type="dxa"/>
                </w:tcPr>
                <w:p w14:paraId="64084BC1"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00FC1AD" w14:textId="77777777" w:rsidR="00E115A3" w:rsidRPr="004473B7" w:rsidRDefault="00E115A3" w:rsidP="004473B7">
            <w:pPr>
              <w:tabs>
                <w:tab w:val="left" w:pos="364"/>
              </w:tabs>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80676E4" w14:textId="77777777" w:rsidTr="004473B7">
              <w:trPr>
                <w:cantSplit/>
              </w:trPr>
              <w:tc>
                <w:tcPr>
                  <w:tcW w:w="8364" w:type="dxa"/>
                </w:tcPr>
                <w:p w14:paraId="0785EDF5" w14:textId="77777777" w:rsidR="00E115A3" w:rsidRPr="004473B7" w:rsidRDefault="00E115A3" w:rsidP="00E115A3">
                  <w:pPr>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439319D1" w14:textId="77777777" w:rsidTr="004473B7">
              <w:trPr>
                <w:cantSplit/>
              </w:trPr>
              <w:tc>
                <w:tcPr>
                  <w:tcW w:w="8364" w:type="dxa"/>
                </w:tcPr>
                <w:p w14:paraId="6B0BED14" w14:textId="77777777" w:rsidR="00E115A3" w:rsidRPr="004473B7" w:rsidRDefault="00E115A3" w:rsidP="00E115A3">
                  <w:pPr>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473B7" w:rsidRPr="000A5E99" w14:paraId="5DEC624D" w14:textId="77777777" w:rsidTr="009D09B5">
        <w:trPr>
          <w:cantSplit/>
        </w:trPr>
        <w:tc>
          <w:tcPr>
            <w:tcW w:w="344" w:type="dxa"/>
            <w:tcBorders>
              <w:right w:val="nil"/>
            </w:tcBorders>
          </w:tcPr>
          <w:p w14:paraId="43BE1DE7"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6F8E01E1" w14:textId="77777777" w:rsidR="004473B7" w:rsidRPr="004473B7" w:rsidRDefault="004473B7" w:rsidP="009D09B5">
            <w:pPr>
              <w:tabs>
                <w:tab w:val="left" w:pos="364"/>
              </w:tabs>
              <w:ind w:left="-57"/>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35EB023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473B7" w:rsidRPr="00131A89" w:rsidRDefault="004473B7" w:rsidP="009D09B5">
            <w:pPr>
              <w:tabs>
                <w:tab w:val="left" w:pos="388"/>
              </w:tabs>
              <w:rPr>
                <w:rFonts w:ascii="Lucida Sans" w:hAnsi="Lucida Sans"/>
                <w:sz w:val="20"/>
                <w:szCs w:val="20"/>
              </w:rPr>
            </w:pPr>
          </w:p>
        </w:tc>
      </w:tr>
      <w:tr w:rsidR="004473B7" w:rsidRPr="000A5E99" w14:paraId="2AF0D4E1" w14:textId="77777777" w:rsidTr="009D09B5">
        <w:trPr>
          <w:cantSplit/>
        </w:trPr>
        <w:tc>
          <w:tcPr>
            <w:tcW w:w="8378" w:type="dxa"/>
            <w:gridSpan w:val="2"/>
            <w:shd w:val="clear" w:color="auto" w:fill="D9D9D9" w:themeFill="background1" w:themeFillShade="D9"/>
          </w:tcPr>
          <w:p w14:paraId="50840381"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607F5FDA" w14:textId="77777777" w:rsidTr="009D09B5">
        <w:trPr>
          <w:cantSplit/>
        </w:trPr>
        <w:tc>
          <w:tcPr>
            <w:tcW w:w="8378" w:type="dxa"/>
            <w:gridSpan w:val="2"/>
          </w:tcPr>
          <w:p w14:paraId="74238025" w14:textId="16916349" w:rsidR="004473B7" w:rsidRPr="000A5E99" w:rsidRDefault="004473B7" w:rsidP="0068746F">
            <w:pPr>
              <w:tabs>
                <w:tab w:val="left" w:pos="364"/>
              </w:tabs>
              <w:ind w:left="364"/>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 xml:space="preserve">al Lead for </w:t>
            </w:r>
            <w:r w:rsidR="00FC08E4">
              <w:rPr>
                <w:rFonts w:ascii="Lucida Sans" w:hAnsi="Lucida Sans"/>
                <w:sz w:val="20"/>
                <w:szCs w:val="20"/>
              </w:rPr>
              <w:t>Neuros</w:t>
            </w:r>
            <w:r w:rsidR="001A7718">
              <w:rPr>
                <w:rFonts w:ascii="Lucida Sans" w:hAnsi="Lucida Sans"/>
                <w:sz w:val="20"/>
                <w:szCs w:val="20"/>
              </w:rPr>
              <w:t>urgery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another NHS Trust as directed by the Surgical training Committee</w:t>
            </w:r>
            <w:r w:rsidRPr="000A5E99">
              <w:rPr>
                <w:rFonts w:ascii="Lucida Sans" w:hAnsi="Lucida Sans"/>
                <w:sz w:val="20"/>
                <w:szCs w:val="20"/>
              </w:rPr>
              <w:t xml:space="preserve">. </w:t>
            </w:r>
          </w:p>
          <w:p w14:paraId="10F8056E" w14:textId="77777777" w:rsidR="004473B7" w:rsidRDefault="004473B7" w:rsidP="009D09B5">
            <w:pPr>
              <w:tabs>
                <w:tab w:val="left" w:pos="364"/>
              </w:tabs>
              <w:ind w:left="364"/>
              <w:rPr>
                <w:rFonts w:ascii="Lucida Sans" w:hAnsi="Lucida Sans"/>
                <w:sz w:val="20"/>
                <w:szCs w:val="20"/>
              </w:rPr>
            </w:pPr>
          </w:p>
          <w:p w14:paraId="15F4F55A" w14:textId="77777777" w:rsidR="004473B7" w:rsidRDefault="004473B7" w:rsidP="009D09B5">
            <w:pPr>
              <w:ind w:left="364"/>
              <w:rPr>
                <w:rFonts w:ascii="Lucida Sans" w:hAnsi="Lucida Sans"/>
                <w:sz w:val="20"/>
                <w:szCs w:val="20"/>
              </w:rPr>
            </w:pPr>
            <w:r>
              <w:rPr>
                <w:rFonts w:ascii="Lucida Sans" w:hAnsi="Lucida Sans"/>
                <w:sz w:val="20"/>
                <w:szCs w:val="20"/>
              </w:rPr>
              <w:t>On-call Arrangements</w:t>
            </w:r>
          </w:p>
          <w:p w14:paraId="71752D7F" w14:textId="77777777" w:rsidR="004473B7" w:rsidRPr="000A5E99" w:rsidRDefault="004473B7" w:rsidP="00D24773">
            <w:pPr>
              <w:ind w:left="364"/>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75F5CFE"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118D1766" w14:textId="77777777" w:rsidR="00131A89" w:rsidRDefault="00131A89"/>
    <w:p w14:paraId="6CC7586D" w14:textId="77777777" w:rsidR="00F72737" w:rsidRPr="000A5E99" w:rsidRDefault="00F72737" w:rsidP="00F72737">
      <w:pPr>
        <w:rPr>
          <w:rFonts w:ascii="Lucida Sans" w:hAnsi="Lucida Sans"/>
          <w:sz w:val="20"/>
          <w:szCs w:val="20"/>
        </w:rPr>
      </w:pPr>
    </w:p>
    <w:p w14:paraId="36984C8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68746F">
            <w:pPr>
              <w:ind w:left="366"/>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68746F">
            <w:pPr>
              <w:ind w:left="366"/>
              <w:rPr>
                <w:rFonts w:ascii="Lucida Sans" w:hAnsi="Lucida Sans"/>
                <w:sz w:val="20"/>
                <w:szCs w:val="20"/>
              </w:rPr>
            </w:pPr>
          </w:p>
          <w:p w14:paraId="6E4BC51E" w14:textId="77777777" w:rsidR="004473B7" w:rsidRDefault="00DF552C" w:rsidP="0068746F">
            <w:pPr>
              <w:ind w:left="366"/>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68746F">
            <w:pPr>
              <w:ind w:left="366"/>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68746F">
            <w:pPr>
              <w:ind w:left="366"/>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68746F">
            <w:pPr>
              <w:ind w:left="366"/>
              <w:rPr>
                <w:rFonts w:ascii="Lucida Sans" w:hAnsi="Lucida Sans"/>
                <w:sz w:val="20"/>
                <w:szCs w:val="20"/>
              </w:rPr>
            </w:pPr>
          </w:p>
          <w:p w14:paraId="46EDF4F0" w14:textId="77777777" w:rsidR="00DF552C" w:rsidRDefault="00DF552C" w:rsidP="0068746F">
            <w:pPr>
              <w:ind w:left="366"/>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68746F">
            <w:pPr>
              <w:ind w:left="366"/>
              <w:rPr>
                <w:rFonts w:ascii="Lucida Sans" w:hAnsi="Lucida Sans"/>
                <w:sz w:val="20"/>
                <w:szCs w:val="20"/>
              </w:rPr>
            </w:pPr>
          </w:p>
          <w:p w14:paraId="272F838A" w14:textId="77777777" w:rsidR="00DF552C" w:rsidRDefault="004473B7" w:rsidP="0068746F">
            <w:pPr>
              <w:ind w:left="366"/>
              <w:rPr>
                <w:rFonts w:ascii="Lucida Sans" w:hAnsi="Lucida Sans"/>
                <w:sz w:val="20"/>
                <w:szCs w:val="20"/>
              </w:rPr>
            </w:pPr>
            <w:r>
              <w:rPr>
                <w:rFonts w:ascii="Lucida Sans" w:hAnsi="Lucida Sans"/>
                <w:sz w:val="20"/>
                <w:szCs w:val="20"/>
              </w:rPr>
              <w:t xml:space="preserve">Other key relationships; </w:t>
            </w:r>
          </w:p>
          <w:p w14:paraId="64D61EF8" w14:textId="77777777" w:rsidR="00DF552C" w:rsidRDefault="00DF552C" w:rsidP="001E5C4A">
            <w:pPr>
              <w:rPr>
                <w:rFonts w:ascii="Lucida Sans" w:hAnsi="Lucida Sans"/>
                <w:sz w:val="20"/>
                <w:szCs w:val="20"/>
              </w:rPr>
            </w:pPr>
          </w:p>
          <w:p w14:paraId="056F0822" w14:textId="77777777" w:rsidR="00A54622" w:rsidRDefault="00A54622" w:rsidP="00A54622">
            <w:pPr>
              <w:pStyle w:val="ListParagraph"/>
              <w:numPr>
                <w:ilvl w:val="0"/>
                <w:numId w:val="12"/>
              </w:numPr>
              <w:rPr>
                <w:sz w:val="20"/>
              </w:rPr>
            </w:pPr>
            <w:r>
              <w:rPr>
                <w:sz w:val="20"/>
              </w:rPr>
              <w:t>Research Colleagues</w:t>
            </w:r>
            <w:r w:rsidR="002B7228">
              <w:rPr>
                <w:sz w:val="20"/>
              </w:rPr>
              <w:t>;</w:t>
            </w:r>
          </w:p>
          <w:p w14:paraId="0F97B362" w14:textId="77777777" w:rsidR="00A54622" w:rsidRDefault="00A54622" w:rsidP="00A54622">
            <w:pPr>
              <w:pStyle w:val="ListParagraph"/>
              <w:numPr>
                <w:ilvl w:val="0"/>
                <w:numId w:val="12"/>
              </w:numPr>
              <w:rPr>
                <w:sz w:val="20"/>
              </w:rPr>
            </w:pPr>
            <w:r>
              <w:rPr>
                <w:sz w:val="20"/>
              </w:rPr>
              <w:t>Head of School</w:t>
            </w:r>
            <w:r w:rsidR="002B7228">
              <w:rPr>
                <w:sz w:val="20"/>
              </w:rPr>
              <w:t>;</w:t>
            </w:r>
          </w:p>
          <w:p w14:paraId="49C95E77" w14:textId="77777777" w:rsidR="00A54622" w:rsidRPr="00DF552C" w:rsidRDefault="00A54622" w:rsidP="00DF552C">
            <w:pPr>
              <w:pStyle w:val="ListParagraph"/>
              <w:numPr>
                <w:ilvl w:val="0"/>
                <w:numId w:val="12"/>
              </w:numPr>
              <w:rPr>
                <w:sz w:val="20"/>
              </w:rPr>
            </w:pPr>
            <w:r>
              <w:rPr>
                <w:sz w:val="20"/>
              </w:rPr>
              <w:t>Central University Offices/Professional Services (e.g. Graduate Office, Finance, Research and Innovation services etc.)</w:t>
            </w:r>
            <w:r w:rsidR="002B7228">
              <w:rPr>
                <w:sz w:val="20"/>
              </w:rPr>
              <w:t>;</w:t>
            </w:r>
          </w:p>
          <w:p w14:paraId="4D39C6FC" w14:textId="77777777" w:rsidR="00A54622" w:rsidRDefault="00A54622" w:rsidP="00A54622">
            <w:pPr>
              <w:pStyle w:val="ListParagraph"/>
              <w:numPr>
                <w:ilvl w:val="0"/>
                <w:numId w:val="12"/>
              </w:numPr>
              <w:rPr>
                <w:sz w:val="20"/>
              </w:rPr>
            </w:pPr>
            <w:r>
              <w:rPr>
                <w:sz w:val="20"/>
              </w:rPr>
              <w:t>Delivery of research presentations at national/international conferences and meetings</w:t>
            </w:r>
            <w:r w:rsidR="002B7228">
              <w:rPr>
                <w:sz w:val="20"/>
              </w:rPr>
              <w:t>;</w:t>
            </w:r>
          </w:p>
          <w:p w14:paraId="3C937D86" w14:textId="77777777" w:rsidR="00A54622" w:rsidRPr="004473B7" w:rsidRDefault="00A54622" w:rsidP="001E5C4A">
            <w:pPr>
              <w:pStyle w:val="ListParagraph"/>
              <w:numPr>
                <w:ilvl w:val="0"/>
                <w:numId w:val="12"/>
              </w:numPr>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0A219ED">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0A219ED">
        <w:trPr>
          <w:trHeight w:val="351"/>
        </w:trPr>
        <w:tc>
          <w:tcPr>
            <w:tcW w:w="10137" w:type="dxa"/>
          </w:tcPr>
          <w:p w14:paraId="5C6D9626" w14:textId="77777777" w:rsidR="0078749C" w:rsidRDefault="0078749C" w:rsidP="00A219ED">
            <w:pPr>
              <w:rPr>
                <w:sz w:val="20"/>
              </w:rPr>
            </w:pPr>
          </w:p>
          <w:p w14:paraId="7326267D" w14:textId="77777777" w:rsidR="0078749C" w:rsidRDefault="0078749C" w:rsidP="0078749C">
            <w:pPr>
              <w:ind w:left="364"/>
              <w:rPr>
                <w:rFonts w:ascii="Lucida Sans" w:hAnsi="Lucida Sans" w:cs="Segoe UI"/>
                <w:sz w:val="20"/>
                <w:szCs w:val="20"/>
                <w:lang w:val="en"/>
              </w:rPr>
            </w:pPr>
            <w:r w:rsidRPr="00193707">
              <w:rPr>
                <w:rFonts w:ascii="Lucida Sans" w:hAnsi="Lucida Sans" w:cs="Segoe UI"/>
                <w:sz w:val="20"/>
                <w:szCs w:val="20"/>
                <w:lang w:val="en"/>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199F7ED3" w14:textId="77777777" w:rsidR="0078749C" w:rsidRDefault="0078749C" w:rsidP="00A219ED">
            <w:pPr>
              <w:rPr>
                <w:rFonts w:ascii="Lucida Sans" w:hAnsi="Lucida Sans" w:cs="Segoe UI"/>
                <w:sz w:val="20"/>
                <w:szCs w:val="20"/>
                <w:lang w:val="en"/>
              </w:rPr>
            </w:pPr>
          </w:p>
          <w:p w14:paraId="16D13068" w14:textId="77777777" w:rsidR="0078749C" w:rsidRPr="002B7228" w:rsidRDefault="0078749C" w:rsidP="00A219ED">
            <w:pPr>
              <w:pStyle w:val="ListParagraph"/>
              <w:numPr>
                <w:ilvl w:val="0"/>
                <w:numId w:val="14"/>
              </w:numPr>
              <w:rPr>
                <w:sz w:val="20"/>
              </w:rPr>
            </w:pPr>
            <w:r>
              <w:rPr>
                <w:sz w:val="20"/>
              </w:rPr>
              <w:t>Faculty Mentoring Scheme;</w:t>
            </w:r>
          </w:p>
          <w:p w14:paraId="723AD1C1"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558DE05C" w14:textId="77777777" w:rsidR="0078749C" w:rsidRDefault="0078749C" w:rsidP="00A219ED">
            <w:pPr>
              <w:pStyle w:val="ListParagraph"/>
              <w:numPr>
                <w:ilvl w:val="0"/>
                <w:numId w:val="13"/>
              </w:numPr>
              <w:rPr>
                <w:sz w:val="20"/>
              </w:rPr>
            </w:pPr>
            <w:r>
              <w:rPr>
                <w:sz w:val="20"/>
              </w:rPr>
              <w:t>Discounted Sport and Wellbeing membership;</w:t>
            </w:r>
          </w:p>
          <w:p w14:paraId="3EE4FE04" w14:textId="77777777" w:rsidR="0078749C" w:rsidRDefault="0078749C" w:rsidP="00A219ED">
            <w:pPr>
              <w:pStyle w:val="ListParagraph"/>
              <w:numPr>
                <w:ilvl w:val="0"/>
                <w:numId w:val="13"/>
              </w:numPr>
              <w:rPr>
                <w:sz w:val="20"/>
              </w:rPr>
            </w:pPr>
            <w:r>
              <w:rPr>
                <w:sz w:val="20"/>
              </w:rPr>
              <w:t>Access to private dental and/or healthcare insurance;</w:t>
            </w:r>
          </w:p>
          <w:p w14:paraId="71F1BC10" w14:textId="77777777" w:rsidR="0078749C" w:rsidRDefault="0078749C" w:rsidP="00A219ED">
            <w:pPr>
              <w:pStyle w:val="ListParagraph"/>
              <w:numPr>
                <w:ilvl w:val="0"/>
                <w:numId w:val="13"/>
              </w:numPr>
              <w:rPr>
                <w:sz w:val="20"/>
              </w:rPr>
            </w:pPr>
            <w:r>
              <w:rPr>
                <w:sz w:val="20"/>
              </w:rPr>
              <w:t xml:space="preserve">Cycle to work scheme </w:t>
            </w:r>
          </w:p>
          <w:p w14:paraId="61C89F22"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229F4C79"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7"/>
        <w:gridCol w:w="2962"/>
        <w:gridCol w:w="1365"/>
      </w:tblGrid>
      <w:tr w:rsidR="00DB4C9D" w:rsidRPr="00DB4C9D" w14:paraId="149E497C" w14:textId="77777777" w:rsidTr="009D09B5">
        <w:tc>
          <w:tcPr>
            <w:tcW w:w="1614" w:type="dxa"/>
            <w:shd w:val="clear" w:color="auto" w:fill="D9D9D9" w:themeFill="background1" w:themeFillShade="D9"/>
            <w:vAlign w:val="center"/>
          </w:tcPr>
          <w:p w14:paraId="151CC6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0BFC8B45"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727790C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6FFB3E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2A9D114B" w14:textId="77777777" w:rsidTr="009D09B5">
        <w:tc>
          <w:tcPr>
            <w:tcW w:w="1614" w:type="dxa"/>
          </w:tcPr>
          <w:p w14:paraId="1775C6EF"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1C5D6ABC" w14:textId="77777777"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46D472B5" w14:textId="77777777" w:rsidR="00DB4C9D" w:rsidRDefault="00DB4C9D" w:rsidP="009D09B5">
            <w:pPr>
              <w:rPr>
                <w:rFonts w:ascii="Lucida Sans" w:hAnsi="Lucida Sans"/>
                <w:sz w:val="20"/>
                <w:szCs w:val="20"/>
              </w:rPr>
            </w:pPr>
          </w:p>
          <w:p w14:paraId="5F415D5F" w14:textId="2DAF9F4E" w:rsidR="00AE07A6" w:rsidRDefault="00EF6189" w:rsidP="009D09B5">
            <w:pPr>
              <w:rPr>
                <w:rFonts w:ascii="Lucida Sans" w:hAnsi="Lucida Sans"/>
                <w:sz w:val="20"/>
                <w:szCs w:val="20"/>
              </w:rPr>
            </w:pPr>
            <w:r>
              <w:rPr>
                <w:rFonts w:ascii="Lucida Sans" w:hAnsi="Lucida Sans"/>
                <w:sz w:val="20"/>
                <w:szCs w:val="20"/>
              </w:rPr>
              <w:t xml:space="preserve">MRCS </w:t>
            </w:r>
            <w:r w:rsidR="00AE07A6">
              <w:rPr>
                <w:rFonts w:ascii="Lucida Sans" w:hAnsi="Lucida Sans"/>
                <w:sz w:val="20"/>
                <w:szCs w:val="20"/>
              </w:rPr>
              <w:t>or equivalent</w:t>
            </w:r>
            <w:r w:rsidR="002E3D77">
              <w:rPr>
                <w:rFonts w:ascii="Lucida Sans" w:hAnsi="Lucida Sans"/>
                <w:sz w:val="20"/>
                <w:szCs w:val="20"/>
              </w:rPr>
              <w:t xml:space="preserve"> surgical qualification</w:t>
            </w:r>
          </w:p>
          <w:p w14:paraId="69A7FA9F" w14:textId="77777777" w:rsidR="00AE07A6" w:rsidRPr="00DB4C9D" w:rsidRDefault="00AE07A6" w:rsidP="009D09B5">
            <w:pPr>
              <w:rPr>
                <w:rFonts w:ascii="Lucida Sans" w:hAnsi="Lucida Sans"/>
                <w:sz w:val="20"/>
                <w:szCs w:val="20"/>
              </w:rPr>
            </w:pPr>
          </w:p>
          <w:p w14:paraId="6C46A24A" w14:textId="77777777"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6CCCECBD" w14:textId="77777777" w:rsidR="00DB4C9D" w:rsidRPr="00DB4C9D" w:rsidRDefault="00DB4C9D" w:rsidP="009D09B5">
            <w:pPr>
              <w:rPr>
                <w:rFonts w:ascii="Lucida Sans" w:hAnsi="Lucida Sans"/>
                <w:sz w:val="20"/>
                <w:szCs w:val="20"/>
              </w:rPr>
            </w:pPr>
          </w:p>
          <w:p w14:paraId="0CA2F23E" w14:textId="1A1CB522" w:rsidR="00DB4C9D" w:rsidRPr="00DB4C9D" w:rsidRDefault="00DB4C9D" w:rsidP="009D09B5">
            <w:pPr>
              <w:rPr>
                <w:rFonts w:ascii="Lucida Sans" w:hAnsi="Lucida Sans"/>
                <w:sz w:val="20"/>
                <w:szCs w:val="20"/>
              </w:rPr>
            </w:pPr>
            <w:r w:rsidRPr="00DB4C9D">
              <w:rPr>
                <w:rFonts w:ascii="Lucida Sans" w:hAnsi="Lucida Sans"/>
                <w:sz w:val="20"/>
                <w:szCs w:val="20"/>
              </w:rPr>
              <w:t>PhD/MD</w:t>
            </w:r>
            <w:r w:rsidR="00AE07A6">
              <w:rPr>
                <w:rFonts w:ascii="Lucida Sans" w:hAnsi="Lucida Sans"/>
                <w:sz w:val="20"/>
                <w:szCs w:val="20"/>
              </w:rPr>
              <w:t xml:space="preserve"> (or equivalent) in </w:t>
            </w:r>
            <w:r w:rsidR="00DB380E">
              <w:rPr>
                <w:rFonts w:ascii="Lucida Sans" w:hAnsi="Lucida Sans"/>
                <w:sz w:val="20"/>
                <w:szCs w:val="20"/>
              </w:rPr>
              <w:t>a</w:t>
            </w:r>
            <w:r w:rsidR="002E3D77">
              <w:rPr>
                <w:rFonts w:ascii="Lucida Sans" w:hAnsi="Lucida Sans"/>
                <w:sz w:val="20"/>
                <w:szCs w:val="20"/>
              </w:rPr>
              <w:t xml:space="preserve"> surgical</w:t>
            </w:r>
            <w:r w:rsidR="00DB380E">
              <w:rPr>
                <w:rFonts w:ascii="Lucida Sans" w:hAnsi="Lucida Sans"/>
                <w:sz w:val="20"/>
                <w:szCs w:val="20"/>
              </w:rPr>
              <w:t xml:space="preserve"> </w:t>
            </w:r>
            <w:r w:rsidR="00AE07A6" w:rsidRPr="00DB380E">
              <w:rPr>
                <w:rFonts w:ascii="Lucida Sans" w:hAnsi="Lucida Sans"/>
                <w:sz w:val="20"/>
                <w:szCs w:val="20"/>
              </w:rPr>
              <w:t>area</w:t>
            </w:r>
            <w:r w:rsidR="00DB380E">
              <w:rPr>
                <w:rFonts w:ascii="Lucida Sans" w:hAnsi="Lucida Sans"/>
                <w:sz w:val="20"/>
                <w:szCs w:val="20"/>
              </w:rPr>
              <w:t xml:space="preserve"> relevant to the post</w:t>
            </w:r>
            <w:r w:rsidRPr="00DB4C9D">
              <w:rPr>
                <w:rFonts w:ascii="Lucida Sans" w:hAnsi="Lucida Sans"/>
                <w:sz w:val="20"/>
                <w:szCs w:val="20"/>
              </w:rPr>
              <w:t xml:space="preserve"> to be awarded before commencing post.</w:t>
            </w:r>
          </w:p>
          <w:p w14:paraId="6233F76F" w14:textId="77777777" w:rsidR="00DB4C9D" w:rsidRPr="00DB4C9D" w:rsidRDefault="00DB4C9D" w:rsidP="009D09B5">
            <w:pPr>
              <w:rPr>
                <w:rFonts w:ascii="Lucida Sans" w:hAnsi="Lucida Sans"/>
                <w:sz w:val="20"/>
                <w:szCs w:val="20"/>
              </w:rPr>
            </w:pPr>
          </w:p>
          <w:p w14:paraId="7EA83F07" w14:textId="37F510AD" w:rsidR="00DB4C9D" w:rsidRPr="00DB4C9D" w:rsidRDefault="00CF565F" w:rsidP="00EF6189">
            <w:pPr>
              <w:rPr>
                <w:rFonts w:ascii="Lucida Sans" w:hAnsi="Lucida Sans"/>
                <w:sz w:val="20"/>
                <w:szCs w:val="20"/>
              </w:rPr>
            </w:pPr>
            <w:r>
              <w:rPr>
                <w:rFonts w:ascii="Lucida Sans" w:hAnsi="Lucida Sans"/>
                <w:sz w:val="20"/>
                <w:szCs w:val="20"/>
              </w:rPr>
              <w:t>E</w:t>
            </w:r>
            <w:r w:rsidR="00DB4C9D" w:rsidRPr="00DB4C9D">
              <w:rPr>
                <w:rFonts w:ascii="Lucida Sans" w:hAnsi="Lucida Sans"/>
                <w:sz w:val="20"/>
                <w:szCs w:val="20"/>
              </w:rPr>
              <w:t xml:space="preserve">xperience </w:t>
            </w:r>
            <w:r>
              <w:rPr>
                <w:rFonts w:ascii="Lucida Sans" w:hAnsi="Lucida Sans"/>
                <w:sz w:val="20"/>
                <w:szCs w:val="20"/>
              </w:rPr>
              <w:t>in research, specifically in genomics</w:t>
            </w:r>
            <w:r w:rsidR="009B0380">
              <w:rPr>
                <w:rFonts w:ascii="Lucida Sans" w:hAnsi="Lucida Sans"/>
                <w:sz w:val="20"/>
                <w:szCs w:val="20"/>
              </w:rPr>
              <w:t xml:space="preserve">, </w:t>
            </w:r>
            <w:r>
              <w:rPr>
                <w:rFonts w:ascii="Lucida Sans" w:hAnsi="Lucida Sans"/>
                <w:sz w:val="20"/>
                <w:szCs w:val="20"/>
              </w:rPr>
              <w:t>proteomics</w:t>
            </w:r>
            <w:r w:rsidR="009B0380">
              <w:rPr>
                <w:rFonts w:ascii="Lucida Sans" w:hAnsi="Lucida Sans"/>
                <w:sz w:val="20"/>
                <w:szCs w:val="20"/>
              </w:rPr>
              <w:t xml:space="preserve"> and machine learning</w:t>
            </w:r>
            <w:r w:rsidR="002E3D77">
              <w:rPr>
                <w:rFonts w:ascii="Lucida Sans" w:hAnsi="Lucida Sans"/>
                <w:sz w:val="20"/>
                <w:szCs w:val="20"/>
              </w:rPr>
              <w:t>.</w:t>
            </w:r>
          </w:p>
          <w:p w14:paraId="1786EA5A" w14:textId="77777777" w:rsidR="00DB4C9D" w:rsidRPr="00DB4C9D" w:rsidRDefault="00DB4C9D" w:rsidP="009D09B5">
            <w:pPr>
              <w:rPr>
                <w:rFonts w:ascii="Lucida Sans" w:hAnsi="Lucida Sans"/>
                <w:sz w:val="20"/>
                <w:szCs w:val="20"/>
              </w:rPr>
            </w:pPr>
          </w:p>
          <w:p w14:paraId="2DD94D72"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047CE496" w14:textId="77777777" w:rsidR="00DB4C9D" w:rsidRPr="00DB4C9D" w:rsidRDefault="00DB4C9D" w:rsidP="009D09B5">
            <w:pPr>
              <w:rPr>
                <w:rFonts w:ascii="Lucida Sans" w:hAnsi="Lucida Sans"/>
                <w:sz w:val="20"/>
                <w:szCs w:val="20"/>
              </w:rPr>
            </w:pPr>
          </w:p>
          <w:p w14:paraId="4659FD9F" w14:textId="31278852" w:rsidR="00DB4C9D" w:rsidRDefault="002E3D77" w:rsidP="009D09B5">
            <w:pPr>
              <w:rPr>
                <w:rFonts w:ascii="Lucida Sans" w:hAnsi="Lucida Sans"/>
                <w:sz w:val="20"/>
                <w:szCs w:val="20"/>
              </w:rPr>
            </w:pPr>
            <w:r>
              <w:rPr>
                <w:rFonts w:ascii="Lucida Sans" w:hAnsi="Lucida Sans"/>
                <w:sz w:val="20"/>
                <w:szCs w:val="20"/>
              </w:rPr>
              <w:t>T</w:t>
            </w:r>
            <w:r w:rsidR="00DB4C9D" w:rsidRPr="00DB4C9D">
              <w:rPr>
                <w:rFonts w:ascii="Lucida Sans" w:hAnsi="Lucida Sans"/>
                <w:sz w:val="20"/>
                <w:szCs w:val="20"/>
              </w:rPr>
              <w:t>rack record of development and delivery of teaching at undergraduate and postgraduate level.</w:t>
            </w:r>
          </w:p>
          <w:p w14:paraId="0563A045" w14:textId="77777777" w:rsidR="00AE07A6" w:rsidRDefault="00AE07A6" w:rsidP="009D09B5">
            <w:pPr>
              <w:rPr>
                <w:rFonts w:ascii="Lucida Sans" w:hAnsi="Lucida Sans"/>
                <w:sz w:val="20"/>
                <w:szCs w:val="20"/>
              </w:rPr>
            </w:pPr>
          </w:p>
          <w:p w14:paraId="5A0832EF" w14:textId="77777777"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0796D9B0" w14:textId="77777777" w:rsidR="00DB4C9D" w:rsidRPr="00DB4C9D" w:rsidRDefault="00DB4C9D" w:rsidP="009D09B5">
            <w:pPr>
              <w:rPr>
                <w:rFonts w:ascii="Lucida Sans" w:hAnsi="Lucida Sans"/>
                <w:sz w:val="20"/>
                <w:szCs w:val="20"/>
              </w:rPr>
            </w:pPr>
          </w:p>
        </w:tc>
        <w:tc>
          <w:tcPr>
            <w:tcW w:w="3328" w:type="dxa"/>
          </w:tcPr>
          <w:p w14:paraId="4129E6C4"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7F86BF05" w14:textId="77777777" w:rsidR="00421C6D" w:rsidRDefault="00421C6D" w:rsidP="009D09B5">
            <w:pPr>
              <w:spacing w:after="90"/>
              <w:rPr>
                <w:rFonts w:ascii="Lucida Sans" w:hAnsi="Lucida Sans"/>
                <w:sz w:val="20"/>
                <w:szCs w:val="20"/>
              </w:rPr>
            </w:pPr>
          </w:p>
          <w:p w14:paraId="6F5B3081" w14:textId="77777777" w:rsidR="00416F73" w:rsidRDefault="00EF6189" w:rsidP="00DB380E">
            <w:pPr>
              <w:spacing w:after="90"/>
              <w:rPr>
                <w:rFonts w:ascii="Lucida Sans" w:hAnsi="Lucida Sans"/>
                <w:sz w:val="20"/>
                <w:szCs w:val="20"/>
              </w:rPr>
            </w:pPr>
            <w:r>
              <w:rPr>
                <w:rFonts w:ascii="Lucida Sans" w:hAnsi="Lucida Sans"/>
                <w:sz w:val="20"/>
                <w:szCs w:val="20"/>
              </w:rPr>
              <w:t>Post-doctoral research experience</w:t>
            </w:r>
          </w:p>
          <w:p w14:paraId="507E1110" w14:textId="54A56EB4" w:rsidR="00DB380E" w:rsidRPr="00DB4C9D" w:rsidRDefault="00DB380E" w:rsidP="00416F73">
            <w:pPr>
              <w:spacing w:after="90"/>
              <w:rPr>
                <w:rFonts w:ascii="Lucida Sans" w:hAnsi="Lucida Sans"/>
                <w:sz w:val="20"/>
                <w:szCs w:val="20"/>
              </w:rPr>
            </w:pPr>
          </w:p>
        </w:tc>
        <w:tc>
          <w:tcPr>
            <w:tcW w:w="1317" w:type="dxa"/>
          </w:tcPr>
          <w:p w14:paraId="0F6180F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99A4F42" w14:textId="77777777" w:rsidTr="009D09B5">
        <w:tc>
          <w:tcPr>
            <w:tcW w:w="1614" w:type="dxa"/>
          </w:tcPr>
          <w:p w14:paraId="66AD3F5D" w14:textId="77777777"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1F64B9D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7639310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0B1B034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2658BE7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plan, manage, organise and assess own teaching contributions.</w:t>
            </w:r>
          </w:p>
        </w:tc>
        <w:tc>
          <w:tcPr>
            <w:tcW w:w="3328" w:type="dxa"/>
          </w:tcPr>
          <w:p w14:paraId="35908E23" w14:textId="77777777" w:rsidR="00DB4C9D" w:rsidRPr="00DB4C9D" w:rsidRDefault="00DB4C9D" w:rsidP="009D09B5">
            <w:pPr>
              <w:spacing w:after="90"/>
              <w:rPr>
                <w:rFonts w:ascii="Lucida Sans" w:hAnsi="Lucida Sans"/>
                <w:sz w:val="20"/>
                <w:szCs w:val="20"/>
              </w:rPr>
            </w:pPr>
          </w:p>
        </w:tc>
        <w:tc>
          <w:tcPr>
            <w:tcW w:w="1317" w:type="dxa"/>
          </w:tcPr>
          <w:p w14:paraId="05A9AE8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32BF10CC" w14:textId="77777777" w:rsidTr="009D09B5">
        <w:tc>
          <w:tcPr>
            <w:tcW w:w="1614" w:type="dxa"/>
          </w:tcPr>
          <w:p w14:paraId="0FDF705F" w14:textId="77777777" w:rsidR="00DB4C9D" w:rsidRPr="00DB4C9D" w:rsidRDefault="00DB4C9D"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09E6946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6DD6F2A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lastRenderedPageBreak/>
              <w:t>Able to apply originality in modifying existing approaches to solve problems.</w:t>
            </w:r>
          </w:p>
        </w:tc>
        <w:tc>
          <w:tcPr>
            <w:tcW w:w="3328" w:type="dxa"/>
          </w:tcPr>
          <w:p w14:paraId="6A26D677" w14:textId="77777777" w:rsidR="00DB4C9D" w:rsidRPr="00DB4C9D" w:rsidRDefault="00DB4C9D" w:rsidP="009D09B5">
            <w:pPr>
              <w:spacing w:after="90"/>
              <w:rPr>
                <w:rFonts w:ascii="Lucida Sans" w:hAnsi="Lucida Sans"/>
                <w:sz w:val="20"/>
                <w:szCs w:val="20"/>
              </w:rPr>
            </w:pPr>
          </w:p>
        </w:tc>
        <w:tc>
          <w:tcPr>
            <w:tcW w:w="1317" w:type="dxa"/>
          </w:tcPr>
          <w:p w14:paraId="6EFE744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78F40DB0" w14:textId="77777777" w:rsidTr="009D09B5">
        <w:tc>
          <w:tcPr>
            <w:tcW w:w="1614" w:type="dxa"/>
          </w:tcPr>
          <w:p w14:paraId="66F42FA8" w14:textId="77777777" w:rsidR="00DB4C9D" w:rsidRPr="00DB4C9D" w:rsidRDefault="00DB4C9D"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40D54029"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Operational management of research staff and academic groupings.</w:t>
            </w:r>
          </w:p>
          <w:p w14:paraId="500B2F99"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582DDE1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72AE0C9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1A250C51" w14:textId="77777777" w:rsidR="00DB4C9D" w:rsidRPr="00DB4C9D" w:rsidRDefault="00DB4C9D" w:rsidP="009D09B5">
            <w:pPr>
              <w:spacing w:after="90"/>
              <w:rPr>
                <w:rFonts w:ascii="Lucida Sans" w:hAnsi="Lucida Sans"/>
                <w:sz w:val="20"/>
                <w:szCs w:val="20"/>
              </w:rPr>
            </w:pPr>
          </w:p>
        </w:tc>
        <w:tc>
          <w:tcPr>
            <w:tcW w:w="1317" w:type="dxa"/>
          </w:tcPr>
          <w:p w14:paraId="1A5639C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E4B8801" w14:textId="77777777" w:rsidTr="009D09B5">
        <w:tc>
          <w:tcPr>
            <w:tcW w:w="1614" w:type="dxa"/>
          </w:tcPr>
          <w:p w14:paraId="45BE1D30" w14:textId="77777777" w:rsidR="00DB4C9D" w:rsidRPr="00DB4C9D" w:rsidRDefault="00DB4C9D"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297284D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95F141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3F932E2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persuade and influence at all levels in order to foster and maintain relationships, resolving tensions/ difficulties as they arise.</w:t>
            </w:r>
          </w:p>
        </w:tc>
        <w:tc>
          <w:tcPr>
            <w:tcW w:w="3328" w:type="dxa"/>
          </w:tcPr>
          <w:p w14:paraId="0C5E0F38" w14:textId="77777777" w:rsidR="00DB4C9D" w:rsidRPr="00DB4C9D" w:rsidRDefault="00DB4C9D" w:rsidP="009D09B5">
            <w:pPr>
              <w:spacing w:after="90"/>
              <w:rPr>
                <w:rFonts w:ascii="Lucida Sans" w:hAnsi="Lucida Sans"/>
                <w:sz w:val="20"/>
                <w:szCs w:val="20"/>
              </w:rPr>
            </w:pPr>
          </w:p>
        </w:tc>
        <w:tc>
          <w:tcPr>
            <w:tcW w:w="1317" w:type="dxa"/>
          </w:tcPr>
          <w:p w14:paraId="0F7A9FA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Interview</w:t>
            </w:r>
          </w:p>
        </w:tc>
      </w:tr>
      <w:tr w:rsidR="00DB4C9D" w:rsidRPr="00DB4C9D" w14:paraId="047AFEA1" w14:textId="77777777" w:rsidTr="009D09B5">
        <w:tc>
          <w:tcPr>
            <w:tcW w:w="1614" w:type="dxa"/>
          </w:tcPr>
          <w:p w14:paraId="62AD935C" w14:textId="77777777" w:rsidR="00DB4C9D" w:rsidRPr="00DB4C9D" w:rsidRDefault="00DB4C9D"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37FB1A2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3726E29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69CFC34C" w14:textId="77777777" w:rsidR="00DB4C9D" w:rsidRPr="00DB4C9D" w:rsidRDefault="00DB4C9D" w:rsidP="009D09B5">
            <w:pPr>
              <w:spacing w:after="90"/>
              <w:rPr>
                <w:rFonts w:ascii="Lucida Sans" w:hAnsi="Lucida Sans"/>
                <w:sz w:val="20"/>
                <w:szCs w:val="20"/>
              </w:rPr>
            </w:pPr>
          </w:p>
        </w:tc>
        <w:tc>
          <w:tcPr>
            <w:tcW w:w="1317" w:type="dxa"/>
          </w:tcPr>
          <w:p w14:paraId="628431E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w:t>
            </w:r>
          </w:p>
        </w:tc>
      </w:tr>
      <w:tr w:rsidR="00DB4C9D" w:rsidRPr="00DB4C9D" w14:paraId="13F21ED3" w14:textId="77777777" w:rsidTr="009D09B5">
        <w:tc>
          <w:tcPr>
            <w:tcW w:w="1614" w:type="dxa"/>
          </w:tcPr>
          <w:p w14:paraId="7D871132" w14:textId="77777777" w:rsidR="00DB4C9D" w:rsidRPr="00DB4C9D" w:rsidRDefault="00DB4C9D"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41AB9989" w14:textId="5CFB0C91"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Able to work clinically at the level of a Specialist Register in </w:t>
            </w:r>
            <w:r w:rsidR="00FC08E4">
              <w:rPr>
                <w:rFonts w:ascii="Lucida Sans" w:hAnsi="Lucida Sans"/>
                <w:sz w:val="20"/>
                <w:szCs w:val="20"/>
              </w:rPr>
              <w:t>Neuros</w:t>
            </w:r>
            <w:r w:rsidR="001A7718">
              <w:rPr>
                <w:rFonts w:ascii="Lucida Sans" w:hAnsi="Lucida Sans"/>
                <w:sz w:val="20"/>
                <w:szCs w:val="20"/>
              </w:rPr>
              <w:t>urgery</w:t>
            </w:r>
          </w:p>
          <w:p w14:paraId="6F2DE5A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4ED0ED9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To be on a Specialist Registrar training programme </w:t>
            </w:r>
          </w:p>
        </w:tc>
        <w:tc>
          <w:tcPr>
            <w:tcW w:w="1317" w:type="dxa"/>
          </w:tcPr>
          <w:p w14:paraId="4036DE1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 and 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7777777" w:rsidR="00DB4C9D" w:rsidRPr="00DB4C9D" w:rsidRDefault="00FC08E4"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(eg: use of VDU), no further information needs to be supplied. Do not complete the section below.</w:t>
            </w:r>
          </w:p>
        </w:tc>
      </w:tr>
      <w:tr w:rsidR="00DB4C9D" w:rsidRPr="00DB4C9D" w14:paraId="1A271314" w14:textId="77777777" w:rsidTr="009D09B5">
        <w:tc>
          <w:tcPr>
            <w:tcW w:w="908" w:type="dxa"/>
          </w:tcPr>
          <w:p w14:paraId="361E0E1C" w14:textId="77777777" w:rsidR="00DB4C9D" w:rsidRPr="00DB4C9D" w:rsidRDefault="00FC08E4"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(eg: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shd w:val="clear" w:color="auto" w:fill="auto"/>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shd w:val="clear" w:color="auto" w:fill="auto"/>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shd w:val="clear" w:color="auto" w:fill="auto"/>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(eg: fridge/ furnace)</w:t>
            </w:r>
          </w:p>
        </w:tc>
        <w:tc>
          <w:tcPr>
            <w:tcW w:w="1313" w:type="dxa"/>
            <w:shd w:val="clear" w:color="auto" w:fill="auto"/>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shd w:val="clear" w:color="auto" w:fill="auto"/>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shd w:val="clear" w:color="auto" w:fill="auto"/>
            <w:vAlign w:val="center"/>
          </w:tcPr>
          <w:p w14:paraId="69104357"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FF461DC"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shd w:val="clear" w:color="auto" w:fill="auto"/>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shd w:val="clear" w:color="auto" w:fill="auto"/>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shd w:val="clear" w:color="auto" w:fill="auto"/>
            <w:vAlign w:val="center"/>
          </w:tcPr>
          <w:p w14:paraId="5FF667D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0AFB4156"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shd w:val="clear" w:color="auto" w:fill="auto"/>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(eg: solvents, liquids, dust, fumes, biohazards). Specify below:</w:t>
            </w:r>
          </w:p>
        </w:tc>
        <w:tc>
          <w:tcPr>
            <w:tcW w:w="1313" w:type="dxa"/>
            <w:tcBorders>
              <w:bottom w:val="single" w:sz="4" w:space="0" w:color="auto"/>
            </w:tcBorders>
            <w:shd w:val="clear" w:color="auto" w:fill="auto"/>
            <w:vAlign w:val="center"/>
          </w:tcPr>
          <w:p w14:paraId="0316B069"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87A5AD4" w14:textId="3B6B28AA" w:rsidR="00DB4C9D" w:rsidRPr="00CD52DE" w:rsidRDefault="000258FB" w:rsidP="009D09B5">
            <w:pPr>
              <w:rPr>
                <w:rFonts w:ascii="Lucida Sans" w:hAnsi="Lucida Sans"/>
                <w:sz w:val="20"/>
                <w:szCs w:val="20"/>
              </w:rPr>
            </w:pPr>
            <w:r>
              <w:rPr>
                <w:rFonts w:ascii="Lucida Sans" w:hAnsi="Lucida Sans"/>
                <w:sz w:val="20"/>
                <w:szCs w:val="20"/>
              </w:rPr>
              <w:t>3</w:t>
            </w:r>
            <w:r w:rsidR="00DB4C9D" w:rsidRPr="00CD52DE">
              <w:rPr>
                <w:rFonts w:ascii="Lucida Sans" w:hAnsi="Lucida Sans"/>
                <w:sz w:val="20"/>
                <w:szCs w:val="20"/>
              </w:rPr>
              <w:t>0%</w:t>
            </w:r>
          </w:p>
        </w:tc>
        <w:tc>
          <w:tcPr>
            <w:tcW w:w="1314" w:type="dxa"/>
            <w:tcBorders>
              <w:bottom w:val="single" w:sz="4" w:space="0" w:color="auto"/>
            </w:tcBorders>
            <w:shd w:val="clear" w:color="auto" w:fill="auto"/>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shd w:val="clear" w:color="auto" w:fill="auto"/>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shd w:val="clear" w:color="auto" w:fill="auto"/>
            <w:vAlign w:val="center"/>
          </w:tcPr>
          <w:p w14:paraId="1A507D54"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1CE4B372"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shd w:val="clear" w:color="auto" w:fill="auto"/>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shd w:val="clear" w:color="auto" w:fill="auto"/>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shd w:val="clear" w:color="auto" w:fill="auto"/>
            <w:vAlign w:val="center"/>
          </w:tcPr>
          <w:p w14:paraId="1193AE6F" w14:textId="77777777" w:rsidR="00DB4C9D" w:rsidRPr="00CD52DE" w:rsidRDefault="00DB4C9D" w:rsidP="009D09B5">
            <w:pPr>
              <w:rPr>
                <w:rFonts w:ascii="Lucida Sans" w:hAnsi="Lucida Sans"/>
                <w:sz w:val="20"/>
                <w:szCs w:val="20"/>
              </w:rPr>
            </w:pPr>
            <w:r w:rsidRPr="00CD52DE">
              <w:rPr>
                <w:rFonts w:ascii="Lucida Sans" w:hAnsi="Lucida Sans"/>
                <w:sz w:val="20"/>
                <w:szCs w:val="20"/>
              </w:rPr>
              <w:t>Yes</w:t>
            </w:r>
          </w:p>
        </w:tc>
        <w:tc>
          <w:tcPr>
            <w:tcW w:w="1314" w:type="dxa"/>
            <w:tcBorders>
              <w:bottom w:val="single" w:sz="4" w:space="0" w:color="auto"/>
            </w:tcBorders>
            <w:shd w:val="clear" w:color="auto" w:fill="auto"/>
            <w:vAlign w:val="center"/>
          </w:tcPr>
          <w:p w14:paraId="69978355"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shd w:val="clear" w:color="auto" w:fill="auto"/>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shd w:val="clear" w:color="auto" w:fill="auto"/>
            <w:vAlign w:val="center"/>
          </w:tcPr>
          <w:p w14:paraId="468E6DE3"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611A73C8"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shd w:val="clear" w:color="auto" w:fill="auto"/>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Driving university vehicles(eg: car/van/LGV/PCV) </w:t>
            </w:r>
          </w:p>
        </w:tc>
        <w:tc>
          <w:tcPr>
            <w:tcW w:w="1313" w:type="dxa"/>
            <w:shd w:val="clear" w:color="auto" w:fill="auto"/>
            <w:vAlign w:val="center"/>
          </w:tcPr>
          <w:p w14:paraId="36288D09"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CB7679D"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shd w:val="clear" w:color="auto" w:fill="auto"/>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shd w:val="clear" w:color="auto" w:fill="auto"/>
            <w:vAlign w:val="center"/>
          </w:tcPr>
          <w:p w14:paraId="32605B6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59FEC8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shd w:val="clear" w:color="auto" w:fill="auto"/>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Vibrating tools (eg: strimmers, hammer drill, lawnmowers) </w:t>
            </w:r>
          </w:p>
        </w:tc>
        <w:tc>
          <w:tcPr>
            <w:tcW w:w="1313" w:type="dxa"/>
            <w:tcBorders>
              <w:bottom w:val="single" w:sz="4" w:space="0" w:color="auto"/>
            </w:tcBorders>
            <w:shd w:val="clear" w:color="auto" w:fill="auto"/>
            <w:vAlign w:val="center"/>
          </w:tcPr>
          <w:p w14:paraId="1A8ED1D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741459F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shd w:val="clear" w:color="auto" w:fill="auto"/>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shd w:val="clear" w:color="auto" w:fill="auto"/>
            <w:vAlign w:val="center"/>
          </w:tcPr>
          <w:p w14:paraId="2C41B9C4"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70805C95"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shd w:val="clear" w:color="auto" w:fill="auto"/>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shd w:val="clear" w:color="auto" w:fill="auto"/>
            <w:vAlign w:val="center"/>
          </w:tcPr>
          <w:p w14:paraId="5A36F797"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09C55432"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shd w:val="clear" w:color="auto" w:fill="auto"/>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shd w:val="clear" w:color="auto" w:fill="auto"/>
            <w:vAlign w:val="center"/>
          </w:tcPr>
          <w:p w14:paraId="3BE62A46"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07F0A1AA"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shd w:val="clear" w:color="auto" w:fill="auto"/>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shd w:val="clear" w:color="auto" w:fill="auto"/>
            <w:vAlign w:val="center"/>
          </w:tcPr>
          <w:p w14:paraId="12EA6C5C"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64BCB7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shd w:val="clear" w:color="auto" w:fill="auto"/>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shd w:val="clear" w:color="auto" w:fill="auto"/>
            <w:vAlign w:val="center"/>
          </w:tcPr>
          <w:p w14:paraId="071B6FFC"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2A3DAB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shd w:val="clear" w:color="auto" w:fill="auto"/>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(ie: steps, stools, ladders, stairs)</w:t>
            </w:r>
          </w:p>
        </w:tc>
        <w:tc>
          <w:tcPr>
            <w:tcW w:w="1313" w:type="dxa"/>
            <w:shd w:val="clear" w:color="auto" w:fill="auto"/>
            <w:vAlign w:val="center"/>
          </w:tcPr>
          <w:p w14:paraId="083042F6"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E858C91"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shd w:val="clear" w:color="auto" w:fill="auto"/>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(eg: pipetting)</w:t>
            </w:r>
          </w:p>
        </w:tc>
        <w:tc>
          <w:tcPr>
            <w:tcW w:w="1313" w:type="dxa"/>
            <w:shd w:val="clear" w:color="auto" w:fill="auto"/>
            <w:vAlign w:val="center"/>
          </w:tcPr>
          <w:p w14:paraId="05AAEA88"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08F421D3" w14:textId="427140BF" w:rsidR="00DB4C9D" w:rsidRPr="00CD52DE" w:rsidRDefault="000258FB" w:rsidP="009D09B5">
            <w:pPr>
              <w:rPr>
                <w:rFonts w:ascii="Lucida Sans" w:hAnsi="Lucida Sans"/>
                <w:sz w:val="20"/>
                <w:szCs w:val="20"/>
              </w:rPr>
            </w:pPr>
            <w:r>
              <w:rPr>
                <w:rFonts w:ascii="Lucida Sans" w:hAnsi="Lucida Sans"/>
                <w:sz w:val="20"/>
                <w:szCs w:val="20"/>
              </w:rPr>
              <w:t>3</w:t>
            </w:r>
            <w:r w:rsidR="00DB4C9D" w:rsidRPr="00CD52DE">
              <w:rPr>
                <w:rFonts w:ascii="Lucida Sans" w:hAnsi="Lucida Sans"/>
                <w:sz w:val="20"/>
                <w:szCs w:val="20"/>
              </w:rPr>
              <w:t>0%</w:t>
            </w:r>
          </w:p>
        </w:tc>
        <w:tc>
          <w:tcPr>
            <w:tcW w:w="1314" w:type="dxa"/>
            <w:shd w:val="clear" w:color="auto" w:fill="auto"/>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shd w:val="clear" w:color="auto" w:fill="auto"/>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shd w:val="clear" w:color="auto" w:fill="auto"/>
            <w:vAlign w:val="center"/>
          </w:tcPr>
          <w:p w14:paraId="69CABF3A"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2170451"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shd w:val="clear" w:color="auto" w:fill="auto"/>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shd w:val="clear" w:color="auto" w:fill="auto"/>
            <w:vAlign w:val="center"/>
          </w:tcPr>
          <w:p w14:paraId="7640D43F"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01B76BD"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shd w:val="clear" w:color="auto" w:fill="auto"/>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shd w:val="clear" w:color="auto" w:fill="auto"/>
            <w:vAlign w:val="center"/>
          </w:tcPr>
          <w:p w14:paraId="5E59F9C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CD0D69C"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shd w:val="clear" w:color="auto" w:fill="auto"/>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shd w:val="clear" w:color="auto" w:fill="auto"/>
            <w:vAlign w:val="center"/>
          </w:tcPr>
          <w:p w14:paraId="1E89A1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20FE58A0"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shd w:val="clear" w:color="auto" w:fill="auto"/>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shd w:val="clear" w:color="auto" w:fill="auto"/>
            <w:vAlign w:val="center"/>
          </w:tcPr>
          <w:p w14:paraId="7DF8F346"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5299BA4B" w14:textId="2A4A4098" w:rsidR="00DB4C9D" w:rsidRPr="00CD52DE" w:rsidRDefault="000258FB" w:rsidP="009D09B5">
            <w:pPr>
              <w:rPr>
                <w:rFonts w:ascii="Lucida Sans" w:hAnsi="Lucida Sans"/>
                <w:sz w:val="20"/>
                <w:szCs w:val="20"/>
              </w:rPr>
            </w:pPr>
            <w:r>
              <w:rPr>
                <w:rFonts w:ascii="Lucida Sans" w:hAnsi="Lucida Sans"/>
                <w:sz w:val="20"/>
                <w:szCs w:val="20"/>
              </w:rPr>
              <w:t>4</w:t>
            </w:r>
            <w:r w:rsidR="00DB4C9D" w:rsidRPr="00CD52DE">
              <w:rPr>
                <w:rFonts w:ascii="Lucida Sans" w:hAnsi="Lucida Sans"/>
                <w:sz w:val="20"/>
                <w:szCs w:val="20"/>
              </w:rPr>
              <w:t>0%</w:t>
            </w:r>
          </w:p>
        </w:tc>
        <w:tc>
          <w:tcPr>
            <w:tcW w:w="1314" w:type="dxa"/>
            <w:shd w:val="clear" w:color="auto" w:fill="auto"/>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shd w:val="clear" w:color="auto" w:fill="auto"/>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shd w:val="clear" w:color="auto" w:fill="auto"/>
            <w:vAlign w:val="center"/>
          </w:tcPr>
          <w:p w14:paraId="73D33C3C"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09BABD44"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shd w:val="clear" w:color="auto" w:fill="auto"/>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shd w:val="clear" w:color="auto" w:fill="auto"/>
            <w:vAlign w:val="center"/>
          </w:tcPr>
          <w:p w14:paraId="1596842D"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A596047"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shd w:val="clear" w:color="auto" w:fill="auto"/>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20"/>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C286" w14:textId="77777777" w:rsidR="009C02CF" w:rsidRDefault="009C02CF">
      <w:r>
        <w:separator/>
      </w:r>
    </w:p>
  </w:endnote>
  <w:endnote w:type="continuationSeparator" w:id="0">
    <w:p w14:paraId="72CCD7B5" w14:textId="77777777" w:rsidR="009C02CF" w:rsidRDefault="009C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027FAE04" w14:textId="682D3A5F"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FC08E4">
              <w:rPr>
                <w:rFonts w:ascii="Lucida Sans" w:hAnsi="Lucida Sans"/>
                <w:b/>
                <w:bCs/>
                <w:noProof/>
                <w:sz w:val="16"/>
                <w:szCs w:val="16"/>
              </w:rPr>
              <w:t>2</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FC08E4">
              <w:rPr>
                <w:rFonts w:ascii="Lucida Sans" w:hAnsi="Lucida Sans"/>
                <w:b/>
                <w:bCs/>
                <w:noProof/>
                <w:sz w:val="16"/>
                <w:szCs w:val="16"/>
              </w:rPr>
              <w:t>9</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7AAFCF2" w14:textId="34550D74"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FC08E4">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FC08E4">
              <w:rPr>
                <w:rFonts w:ascii="Lucida Sans" w:hAnsi="Lucida Sans"/>
                <w:b/>
                <w:bCs/>
                <w:noProof/>
                <w:sz w:val="16"/>
                <w:szCs w:val="16"/>
              </w:rPr>
              <w:t>9</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DDAF" w14:textId="77777777" w:rsidR="009C02CF" w:rsidRDefault="009C02CF">
      <w:r>
        <w:separator/>
      </w:r>
    </w:p>
  </w:footnote>
  <w:footnote w:type="continuationSeparator" w:id="0">
    <w:p w14:paraId="7F72229E" w14:textId="77777777" w:rsidR="009C02CF" w:rsidRDefault="009C0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0A6D" w14:textId="5953E9BD" w:rsidR="00153F55" w:rsidRPr="00153F55" w:rsidRDefault="00153F55" w:rsidP="00153F55">
    <w:pPr>
      <w:pStyle w:val="Header"/>
      <w:tabs>
        <w:tab w:val="clear" w:pos="8306"/>
        <w:tab w:val="right" w:pos="9498"/>
      </w:tabs>
    </w:pPr>
    <w:r>
      <w:tab/>
    </w:r>
    <w:r>
      <w:tab/>
    </w:r>
    <w:r>
      <w:rPr>
        <w:noProof/>
        <w:color w:val="1F497D"/>
        <w:lang w:eastAsia="en-GB"/>
      </w:rPr>
      <w:drawing>
        <wp:inline distT="0" distB="0" distL="0" distR="0" wp14:anchorId="1270CCC3" wp14:editId="0C6C0865">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1E8A" w14:textId="4619DB81" w:rsidR="001E5C4A" w:rsidRDefault="001E5C4A" w:rsidP="00F72737">
    <w:pPr>
      <w:pStyle w:val="Header"/>
      <w:tabs>
        <w:tab w:val="clear" w:pos="4153"/>
        <w:tab w:val="clear" w:pos="8306"/>
        <w:tab w:val="right" w:pos="9214"/>
      </w:tabs>
    </w:pPr>
    <w:r>
      <w:tab/>
    </w:r>
    <w:r w:rsidR="00923F12">
      <w:rPr>
        <w:noProof/>
        <w:color w:val="1F497D"/>
        <w:lang w:eastAsia="en-GB"/>
      </w:rPr>
      <w:drawing>
        <wp:inline distT="0" distB="0" distL="0" distR="0" wp14:anchorId="5BDCB5F6" wp14:editId="3D3D985A">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v:imagedata r:id="rId1" o:title=""/>
      </v:shape>
    </w:pict>
  </w:numPicBullet>
  <w:numPicBullet w:numPicBulletId="1">
    <w:pict>
      <v:shape id="_x0000_i1034" type="#_x0000_t75" style="width:3in;height:3in"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10"/>
  </w:num>
  <w:num w:numId="5">
    <w:abstractNumId w:val="0"/>
  </w:num>
  <w:num w:numId="6">
    <w:abstractNumId w:val="6"/>
  </w:num>
  <w:num w:numId="7">
    <w:abstractNumId w:val="12"/>
  </w:num>
  <w:num w:numId="8">
    <w:abstractNumId w:val="5"/>
  </w:num>
  <w:num w:numId="9">
    <w:abstractNumId w:val="8"/>
  </w:num>
  <w:num w:numId="10">
    <w:abstractNumId w:val="7"/>
  </w:num>
  <w:num w:numId="11">
    <w:abstractNumId w:val="11"/>
  </w:num>
  <w:num w:numId="12">
    <w:abstractNumId w:val="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41"/>
    <w:rsid w:val="00011946"/>
    <w:rsid w:val="00023FB7"/>
    <w:rsid w:val="000258FB"/>
    <w:rsid w:val="000322ED"/>
    <w:rsid w:val="0003476D"/>
    <w:rsid w:val="000450D8"/>
    <w:rsid w:val="00045FEA"/>
    <w:rsid w:val="000560F6"/>
    <w:rsid w:val="0006057D"/>
    <w:rsid w:val="0006352E"/>
    <w:rsid w:val="00066D56"/>
    <w:rsid w:val="00070531"/>
    <w:rsid w:val="00095DF3"/>
    <w:rsid w:val="000A48CE"/>
    <w:rsid w:val="000A6320"/>
    <w:rsid w:val="000B01AD"/>
    <w:rsid w:val="000B074A"/>
    <w:rsid w:val="000B146C"/>
    <w:rsid w:val="000B57D2"/>
    <w:rsid w:val="000D2731"/>
    <w:rsid w:val="000D37A2"/>
    <w:rsid w:val="000D6FB5"/>
    <w:rsid w:val="000E048B"/>
    <w:rsid w:val="000E4F89"/>
    <w:rsid w:val="000E6CE5"/>
    <w:rsid w:val="001005A4"/>
    <w:rsid w:val="001078ED"/>
    <w:rsid w:val="00112F9E"/>
    <w:rsid w:val="001319E8"/>
    <w:rsid w:val="00131A89"/>
    <w:rsid w:val="00147070"/>
    <w:rsid w:val="00153F55"/>
    <w:rsid w:val="00161DB4"/>
    <w:rsid w:val="00193707"/>
    <w:rsid w:val="001967A9"/>
    <w:rsid w:val="001A7718"/>
    <w:rsid w:val="001B35F8"/>
    <w:rsid w:val="001B4436"/>
    <w:rsid w:val="001C5F5B"/>
    <w:rsid w:val="001D2F15"/>
    <w:rsid w:val="001D587E"/>
    <w:rsid w:val="001E494C"/>
    <w:rsid w:val="001E4F03"/>
    <w:rsid w:val="001E5C4A"/>
    <w:rsid w:val="001F4C7F"/>
    <w:rsid w:val="00210D89"/>
    <w:rsid w:val="00221443"/>
    <w:rsid w:val="0026127F"/>
    <w:rsid w:val="002652E0"/>
    <w:rsid w:val="00265590"/>
    <w:rsid w:val="00265C7E"/>
    <w:rsid w:val="00267956"/>
    <w:rsid w:val="00275543"/>
    <w:rsid w:val="00282F60"/>
    <w:rsid w:val="00294DC3"/>
    <w:rsid w:val="002A3758"/>
    <w:rsid w:val="002A43E7"/>
    <w:rsid w:val="002B7228"/>
    <w:rsid w:val="002D680E"/>
    <w:rsid w:val="002E3D77"/>
    <w:rsid w:val="00302850"/>
    <w:rsid w:val="00311A72"/>
    <w:rsid w:val="00316DED"/>
    <w:rsid w:val="00332D72"/>
    <w:rsid w:val="0037034E"/>
    <w:rsid w:val="00374E60"/>
    <w:rsid w:val="00381A9C"/>
    <w:rsid w:val="00393A18"/>
    <w:rsid w:val="003A25F6"/>
    <w:rsid w:val="003B5125"/>
    <w:rsid w:val="003D3BBE"/>
    <w:rsid w:val="003F7898"/>
    <w:rsid w:val="00416F73"/>
    <w:rsid w:val="00421C6D"/>
    <w:rsid w:val="0044422A"/>
    <w:rsid w:val="004473B7"/>
    <w:rsid w:val="00451401"/>
    <w:rsid w:val="004D39FF"/>
    <w:rsid w:val="00501943"/>
    <w:rsid w:val="005358E8"/>
    <w:rsid w:val="00536C0B"/>
    <w:rsid w:val="00543B38"/>
    <w:rsid w:val="00545A9A"/>
    <w:rsid w:val="005610A0"/>
    <w:rsid w:val="0056431D"/>
    <w:rsid w:val="005649EA"/>
    <w:rsid w:val="00570983"/>
    <w:rsid w:val="00585328"/>
    <w:rsid w:val="00586271"/>
    <w:rsid w:val="005A42AB"/>
    <w:rsid w:val="005B4631"/>
    <w:rsid w:val="005B534F"/>
    <w:rsid w:val="005E03AD"/>
    <w:rsid w:val="00611446"/>
    <w:rsid w:val="006202AE"/>
    <w:rsid w:val="0062108F"/>
    <w:rsid w:val="00623B1A"/>
    <w:rsid w:val="006420AF"/>
    <w:rsid w:val="00650229"/>
    <w:rsid w:val="00664F82"/>
    <w:rsid w:val="00672A97"/>
    <w:rsid w:val="00677487"/>
    <w:rsid w:val="0068746F"/>
    <w:rsid w:val="006A2A3C"/>
    <w:rsid w:val="006B3B94"/>
    <w:rsid w:val="006D2DE0"/>
    <w:rsid w:val="006D5D15"/>
    <w:rsid w:val="006D6D31"/>
    <w:rsid w:val="006E57E1"/>
    <w:rsid w:val="0070629A"/>
    <w:rsid w:val="00731AA7"/>
    <w:rsid w:val="00750171"/>
    <w:rsid w:val="00755D70"/>
    <w:rsid w:val="007652FC"/>
    <w:rsid w:val="00775885"/>
    <w:rsid w:val="00784EB8"/>
    <w:rsid w:val="0078531C"/>
    <w:rsid w:val="00786127"/>
    <w:rsid w:val="0078749C"/>
    <w:rsid w:val="0078784D"/>
    <w:rsid w:val="00787F2D"/>
    <w:rsid w:val="00795318"/>
    <w:rsid w:val="007A43B7"/>
    <w:rsid w:val="007C1001"/>
    <w:rsid w:val="007E4216"/>
    <w:rsid w:val="007E523F"/>
    <w:rsid w:val="007E7F4D"/>
    <w:rsid w:val="00803D0E"/>
    <w:rsid w:val="00805252"/>
    <w:rsid w:val="00815810"/>
    <w:rsid w:val="008174C2"/>
    <w:rsid w:val="008224ED"/>
    <w:rsid w:val="00830ADE"/>
    <w:rsid w:val="00832B6C"/>
    <w:rsid w:val="00844E72"/>
    <w:rsid w:val="00863B08"/>
    <w:rsid w:val="0087273B"/>
    <w:rsid w:val="00884FAF"/>
    <w:rsid w:val="008C17B2"/>
    <w:rsid w:val="008C7DE2"/>
    <w:rsid w:val="008D2544"/>
    <w:rsid w:val="008E5F81"/>
    <w:rsid w:val="008F3974"/>
    <w:rsid w:val="008F4BFC"/>
    <w:rsid w:val="008F5308"/>
    <w:rsid w:val="00923F12"/>
    <w:rsid w:val="00931E69"/>
    <w:rsid w:val="009554EC"/>
    <w:rsid w:val="00974E68"/>
    <w:rsid w:val="00985E92"/>
    <w:rsid w:val="00997657"/>
    <w:rsid w:val="009A5C64"/>
    <w:rsid w:val="009B0380"/>
    <w:rsid w:val="009B1186"/>
    <w:rsid w:val="009B4836"/>
    <w:rsid w:val="009B4AB9"/>
    <w:rsid w:val="009C02CF"/>
    <w:rsid w:val="009C2012"/>
    <w:rsid w:val="009C45AB"/>
    <w:rsid w:val="009C6303"/>
    <w:rsid w:val="009D2C53"/>
    <w:rsid w:val="009D6FE1"/>
    <w:rsid w:val="009E5879"/>
    <w:rsid w:val="009F57B8"/>
    <w:rsid w:val="00A01B9E"/>
    <w:rsid w:val="00A0701D"/>
    <w:rsid w:val="00A17857"/>
    <w:rsid w:val="00A2433E"/>
    <w:rsid w:val="00A26A36"/>
    <w:rsid w:val="00A32AC6"/>
    <w:rsid w:val="00A47D76"/>
    <w:rsid w:val="00A47EC6"/>
    <w:rsid w:val="00A51CBA"/>
    <w:rsid w:val="00A51DA0"/>
    <w:rsid w:val="00A54622"/>
    <w:rsid w:val="00A77CF5"/>
    <w:rsid w:val="00A85D7B"/>
    <w:rsid w:val="00A92160"/>
    <w:rsid w:val="00AA4467"/>
    <w:rsid w:val="00AC4B35"/>
    <w:rsid w:val="00AC6282"/>
    <w:rsid w:val="00AD5A59"/>
    <w:rsid w:val="00AD5B08"/>
    <w:rsid w:val="00AD688E"/>
    <w:rsid w:val="00AD7596"/>
    <w:rsid w:val="00AE07A6"/>
    <w:rsid w:val="00AE5B6B"/>
    <w:rsid w:val="00AF0C5D"/>
    <w:rsid w:val="00B011E9"/>
    <w:rsid w:val="00B117C5"/>
    <w:rsid w:val="00B51028"/>
    <w:rsid w:val="00B511F3"/>
    <w:rsid w:val="00B545E4"/>
    <w:rsid w:val="00B55FF1"/>
    <w:rsid w:val="00B7744F"/>
    <w:rsid w:val="00B776EB"/>
    <w:rsid w:val="00BC0D0E"/>
    <w:rsid w:val="00BD2A08"/>
    <w:rsid w:val="00BE15EC"/>
    <w:rsid w:val="00BE2AA5"/>
    <w:rsid w:val="00BF1C51"/>
    <w:rsid w:val="00C03B39"/>
    <w:rsid w:val="00C05D31"/>
    <w:rsid w:val="00C11D5C"/>
    <w:rsid w:val="00C44B46"/>
    <w:rsid w:val="00C52034"/>
    <w:rsid w:val="00C56506"/>
    <w:rsid w:val="00C56C5D"/>
    <w:rsid w:val="00C625B5"/>
    <w:rsid w:val="00C62B14"/>
    <w:rsid w:val="00C73BA5"/>
    <w:rsid w:val="00C75888"/>
    <w:rsid w:val="00C80078"/>
    <w:rsid w:val="00C92698"/>
    <w:rsid w:val="00CA0588"/>
    <w:rsid w:val="00CA543F"/>
    <w:rsid w:val="00CC31FC"/>
    <w:rsid w:val="00CD52DE"/>
    <w:rsid w:val="00CF0077"/>
    <w:rsid w:val="00CF44AA"/>
    <w:rsid w:val="00CF565F"/>
    <w:rsid w:val="00CF5BFF"/>
    <w:rsid w:val="00D24773"/>
    <w:rsid w:val="00D33ECE"/>
    <w:rsid w:val="00D46434"/>
    <w:rsid w:val="00D60DA1"/>
    <w:rsid w:val="00D64641"/>
    <w:rsid w:val="00D7125B"/>
    <w:rsid w:val="00D825A6"/>
    <w:rsid w:val="00DA2CB9"/>
    <w:rsid w:val="00DB05E1"/>
    <w:rsid w:val="00DB380E"/>
    <w:rsid w:val="00DB4C9D"/>
    <w:rsid w:val="00DB6999"/>
    <w:rsid w:val="00DC5083"/>
    <w:rsid w:val="00DC5FEE"/>
    <w:rsid w:val="00DE04DA"/>
    <w:rsid w:val="00DE1A3D"/>
    <w:rsid w:val="00DF552C"/>
    <w:rsid w:val="00E115A3"/>
    <w:rsid w:val="00E225CF"/>
    <w:rsid w:val="00E27F4A"/>
    <w:rsid w:val="00E52581"/>
    <w:rsid w:val="00E56251"/>
    <w:rsid w:val="00E60640"/>
    <w:rsid w:val="00E67EDD"/>
    <w:rsid w:val="00EB3EC3"/>
    <w:rsid w:val="00EB729E"/>
    <w:rsid w:val="00EC4B53"/>
    <w:rsid w:val="00EF6189"/>
    <w:rsid w:val="00F1077D"/>
    <w:rsid w:val="00F13970"/>
    <w:rsid w:val="00F216DB"/>
    <w:rsid w:val="00F22B6B"/>
    <w:rsid w:val="00F27E44"/>
    <w:rsid w:val="00F35C44"/>
    <w:rsid w:val="00F411E7"/>
    <w:rsid w:val="00F63978"/>
    <w:rsid w:val="00F72737"/>
    <w:rsid w:val="00FA046B"/>
    <w:rsid w:val="00FA600D"/>
    <w:rsid w:val="00FA6503"/>
    <w:rsid w:val="00FB3C7C"/>
    <w:rsid w:val="00FC08E4"/>
    <w:rsid w:val="00FD27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63250">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34708">
      <w:bodyDiv w:val="1"/>
      <w:marLeft w:val="0"/>
      <w:marRight w:val="0"/>
      <w:marTop w:val="0"/>
      <w:marBottom w:val="0"/>
      <w:divBdr>
        <w:top w:val="none" w:sz="0" w:space="0" w:color="auto"/>
        <w:left w:val="none" w:sz="0" w:space="0" w:color="auto"/>
        <w:bottom w:val="none" w:sz="0" w:space="0" w:color="auto"/>
        <w:right w:val="none" w:sz="0" w:space="0" w:color="auto"/>
      </w:divBdr>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2494">
      <w:bodyDiv w:val="1"/>
      <w:marLeft w:val="0"/>
      <w:marRight w:val="0"/>
      <w:marTop w:val="0"/>
      <w:marBottom w:val="0"/>
      <w:divBdr>
        <w:top w:val="none" w:sz="0" w:space="0" w:color="auto"/>
        <w:left w:val="none" w:sz="0" w:space="0" w:color="auto"/>
        <w:bottom w:val="none" w:sz="0" w:space="0" w:color="auto"/>
        <w:right w:val="none" w:sz="0" w:space="0" w:color="auto"/>
      </w:divBdr>
    </w:div>
    <w:div w:id="1372262112">
      <w:bodyDiv w:val="1"/>
      <w:marLeft w:val="0"/>
      <w:marRight w:val="0"/>
      <w:marTop w:val="0"/>
      <w:marBottom w:val="0"/>
      <w:divBdr>
        <w:top w:val="none" w:sz="0" w:space="0" w:color="auto"/>
        <w:left w:val="none" w:sz="0" w:space="0" w:color="auto"/>
        <w:bottom w:val="none" w:sz="0" w:space="0" w:color="auto"/>
        <w:right w:val="none" w:sz="0" w:space="0" w:color="auto"/>
      </w:divBdr>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uthampton.ac.uk/strategy" TargetMode="External"/><Relationship Id="rId5" Type="http://schemas.openxmlformats.org/officeDocument/2006/relationships/styles" Target="styles.xml"/><Relationship Id="rId15" Type="http://schemas.openxmlformats.org/officeDocument/2006/relationships/hyperlink" Target="http://www.uhs.nhs.uk/OurServices/Emergencymedicine/EmergencyDepartment.aspx" TargetMode="External"/><Relationship Id="rId10" Type="http://schemas.openxmlformats.org/officeDocument/2006/relationships/hyperlink" Target="https://www.southampton.ac.uk/hatch/index.pag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D14BED1F9744F8087F41594F02539" ma:contentTypeVersion="12" ma:contentTypeDescription="Create a new document." ma:contentTypeScope="" ma:versionID="1f612a3ce34860030a5ebb365fcd3048">
  <xsd:schema xmlns:xsd="http://www.w3.org/2001/XMLSchema" xmlns:xs="http://www.w3.org/2001/XMLSchema" xmlns:p="http://schemas.microsoft.com/office/2006/metadata/properties" xmlns:ns2="a248f348-de57-4978-8610-f85037476d61" xmlns:ns3="d8836737-aa0d-4393-a50e-440511b48dfe" targetNamespace="http://schemas.microsoft.com/office/2006/metadata/properties" ma:root="true" ma:fieldsID="e44113ed329f3818d493fde656cdbe3f" ns2:_="" ns3:_="">
    <xsd:import namespace="a248f348-de57-4978-8610-f85037476d61"/>
    <xsd:import namespace="d8836737-aa0d-4393-a50e-440511b48d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8f348-de57-4978-8610-f85037476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36737-aa0d-4393-a50e-440511b48d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a2ab67-0e1c-4ff9-911a-855fd3e4d91d}" ma:internalName="TaxCatchAll" ma:showField="CatchAllData" ma:web="d8836737-aa0d-4393-a50e-440511b48d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48f348-de57-4978-8610-f85037476d61">
      <Terms xmlns="http://schemas.microsoft.com/office/infopath/2007/PartnerControls"/>
    </lcf76f155ced4ddcb4097134ff3c332f>
    <TaxCatchAll xmlns="d8836737-aa0d-4393-a50e-440511b48dfe" xsi:nil="true"/>
  </documentManagement>
</p:properties>
</file>

<file path=customXml/itemProps1.xml><?xml version="1.0" encoding="utf-8"?>
<ds:datastoreItem xmlns:ds="http://schemas.openxmlformats.org/officeDocument/2006/customXml" ds:itemID="{A88367DC-B403-4445-9242-825855DD7B04}">
  <ds:schemaRefs>
    <ds:schemaRef ds:uri="http://schemas.microsoft.com/sharepoint/v3/contenttype/forms"/>
  </ds:schemaRefs>
</ds:datastoreItem>
</file>

<file path=customXml/itemProps2.xml><?xml version="1.0" encoding="utf-8"?>
<ds:datastoreItem xmlns:ds="http://schemas.openxmlformats.org/officeDocument/2006/customXml" ds:itemID="{E1CD6803-B233-4C2C-A042-9DB8EAE61647}"/>
</file>

<file path=customXml/itemProps3.xml><?xml version="1.0" encoding="utf-8"?>
<ds:datastoreItem xmlns:ds="http://schemas.openxmlformats.org/officeDocument/2006/customXml" ds:itemID="{41ECF7DB-F5AB-42CD-B247-3F87204193FC}">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52d26214-a285-43c1-9ffc-339cc13754eb"/>
    <ds:schemaRef ds:uri="http://schemas.microsoft.com/office/infopath/2007/PartnerControls"/>
    <ds:schemaRef ds:uri="http://schemas.openxmlformats.org/package/2006/metadata/core-properties"/>
    <ds:schemaRef ds:uri="09616618-489c-4117-8717-34c991be38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Ian Galea</cp:lastModifiedBy>
  <cp:revision>5</cp:revision>
  <cp:lastPrinted>2019-09-30T09:17:00Z</cp:lastPrinted>
  <dcterms:created xsi:type="dcterms:W3CDTF">2023-02-18T10:24:00Z</dcterms:created>
  <dcterms:modified xsi:type="dcterms:W3CDTF">2023-02-22T10:18:00Z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0x010100F2E4C65DD7D8E14FACAACB35A30D4CE7</vt:lpwstr>
  </property>
  <property fmtid="{D5CDD505-2E9C-101B-9397-08002B2CF9AE}" pid="4" name="Order">
    <vt:r8>65800</vt:r8>
  </property>
</Properties>
</file>